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DDD2B" w14:textId="77777777" w:rsidR="00BD4D08" w:rsidRPr="00A710CE" w:rsidRDefault="00BD4D08" w:rsidP="00BD4D08">
      <w:pPr>
        <w:pStyle w:val="Brevtekst"/>
        <w:spacing w:after="360"/>
        <w:rPr>
          <w:rFonts w:ascii="Calibri" w:hAnsi="Calibri" w:cs="Calibri"/>
          <w:sz w:val="20"/>
        </w:rPr>
      </w:pPr>
    </w:p>
    <w:p w14:paraId="773A9D00" w14:textId="77777777" w:rsidR="00BD4D08" w:rsidRPr="00A710CE" w:rsidRDefault="00AE3029" w:rsidP="00BD4D08">
      <w:pPr>
        <w:pStyle w:val="Brevtekst"/>
        <w:rPr>
          <w:rFonts w:ascii="Calibri" w:hAnsi="Calibri" w:cs="Calibri"/>
          <w:sz w:val="20"/>
        </w:rPr>
      </w:pPr>
      <w:bookmarkStart w:id="0" w:name="address"/>
      <w:r w:rsidRPr="00A710CE">
        <w:rPr>
          <w:rFonts w:ascii="Calibri" w:hAnsi="Calibri" w:cs="Calibri"/>
          <w:sz w:val="20"/>
        </w:rPr>
        <w:t xml:space="preserve"> </w:t>
      </w:r>
      <w:bookmarkEnd w:id="0"/>
    </w:p>
    <w:p w14:paraId="1EA5F5CC" w14:textId="77777777" w:rsidR="00FD64E8" w:rsidRPr="00A710CE" w:rsidRDefault="00FD64E8" w:rsidP="00BD4D08">
      <w:pPr>
        <w:pStyle w:val="Brevtekst"/>
        <w:rPr>
          <w:rFonts w:ascii="Calibri" w:hAnsi="Calibri" w:cs="Calibri"/>
          <w:sz w:val="20"/>
        </w:rPr>
      </w:pPr>
    </w:p>
    <w:p w14:paraId="4268792A" w14:textId="3B7B9823" w:rsidR="00D10FDA" w:rsidRPr="00A710CE" w:rsidRDefault="00F45E73" w:rsidP="004C76B9">
      <w:pPr>
        <w:pStyle w:val="Brevtekst"/>
        <w:spacing w:before="460" w:after="640"/>
        <w:jc w:val="right"/>
        <w:rPr>
          <w:rFonts w:ascii="Calibri" w:hAnsi="Calibri" w:cs="Calibri"/>
          <w:sz w:val="20"/>
        </w:rPr>
      </w:pPr>
      <w:r>
        <w:rPr>
          <w:rFonts w:ascii="Calibri" w:hAnsi="Calibri" w:cs="Calibri"/>
          <w:sz w:val="20"/>
        </w:rPr>
        <w:t>02. september</w:t>
      </w:r>
      <w:r w:rsidR="00AE3029" w:rsidRPr="00A710CE">
        <w:rPr>
          <w:rFonts w:ascii="Calibri" w:hAnsi="Calibri" w:cs="Calibri"/>
          <w:sz w:val="20"/>
        </w:rPr>
        <w:t xml:space="preserve">2021 • </w:t>
      </w:r>
      <w:r w:rsidR="0007087B" w:rsidRPr="00A710CE">
        <w:rPr>
          <w:rFonts w:ascii="Calibri" w:hAnsi="Calibri" w:cs="Calibri"/>
          <w:sz w:val="20"/>
        </w:rPr>
        <w:t>MEW</w:t>
      </w:r>
    </w:p>
    <w:p w14:paraId="2920E3C1" w14:textId="249F7316" w:rsidR="00584EAF" w:rsidRPr="009E5860" w:rsidRDefault="00802EDB" w:rsidP="00032913">
      <w:pPr>
        <w:rPr>
          <w:rFonts w:ascii="Calibri" w:hAnsi="Calibri" w:cs="Calibri"/>
          <w:b/>
          <w:bCs/>
          <w:sz w:val="22"/>
          <w:szCs w:val="22"/>
        </w:rPr>
      </w:pPr>
      <w:r w:rsidRPr="009E5860">
        <w:rPr>
          <w:rFonts w:ascii="Calibri" w:hAnsi="Calibri" w:cs="Calibri"/>
          <w:b/>
          <w:sz w:val="22"/>
          <w:szCs w:val="22"/>
        </w:rPr>
        <w:t>Antallet af hjemmehjælpstimer til 65+</w:t>
      </w:r>
      <w:r w:rsidR="00A00237" w:rsidRPr="009E5860">
        <w:rPr>
          <w:rFonts w:ascii="Calibri" w:hAnsi="Calibri" w:cs="Calibri"/>
          <w:b/>
          <w:sz w:val="22"/>
          <w:szCs w:val="22"/>
        </w:rPr>
        <w:t xml:space="preserve"> </w:t>
      </w:r>
      <w:r w:rsidRPr="009E5860">
        <w:rPr>
          <w:rFonts w:ascii="Calibri" w:hAnsi="Calibri" w:cs="Calibri"/>
          <w:b/>
          <w:sz w:val="22"/>
          <w:szCs w:val="22"/>
        </w:rPr>
        <w:t xml:space="preserve">årige er faldet over de </w:t>
      </w:r>
      <w:r w:rsidR="00965850" w:rsidRPr="009E5860">
        <w:rPr>
          <w:rFonts w:ascii="Calibri" w:hAnsi="Calibri" w:cs="Calibri"/>
          <w:b/>
          <w:sz w:val="22"/>
          <w:szCs w:val="22"/>
        </w:rPr>
        <w:t>seneste</w:t>
      </w:r>
      <w:r w:rsidRPr="009E5860">
        <w:rPr>
          <w:rFonts w:ascii="Calibri" w:hAnsi="Calibri" w:cs="Calibri"/>
          <w:b/>
          <w:sz w:val="22"/>
          <w:szCs w:val="22"/>
        </w:rPr>
        <w:t xml:space="preserve"> 10 år </w:t>
      </w:r>
      <w:r w:rsidR="007149A6" w:rsidRPr="009E5860">
        <w:rPr>
          <w:rFonts w:ascii="Calibri" w:hAnsi="Calibri" w:cs="Calibri"/>
          <w:b/>
          <w:sz w:val="22"/>
          <w:szCs w:val="22"/>
        </w:rPr>
        <w:t xml:space="preserve">til </w:t>
      </w:r>
      <w:r w:rsidRPr="009E5860">
        <w:rPr>
          <w:rFonts w:ascii="Calibri" w:hAnsi="Calibri" w:cs="Calibri"/>
          <w:b/>
          <w:sz w:val="22"/>
          <w:szCs w:val="22"/>
        </w:rPr>
        <w:t>trods</w:t>
      </w:r>
      <w:r w:rsidR="007149A6" w:rsidRPr="009E5860">
        <w:rPr>
          <w:rFonts w:ascii="Calibri" w:hAnsi="Calibri" w:cs="Calibri"/>
          <w:b/>
          <w:sz w:val="22"/>
          <w:szCs w:val="22"/>
        </w:rPr>
        <w:t xml:space="preserve"> for, at der s</w:t>
      </w:r>
      <w:r w:rsidR="00180DFC" w:rsidRPr="009E5860">
        <w:rPr>
          <w:rFonts w:ascii="Calibri" w:hAnsi="Calibri" w:cs="Calibri"/>
          <w:b/>
          <w:sz w:val="22"/>
          <w:szCs w:val="22"/>
        </w:rPr>
        <w:t>am</w:t>
      </w:r>
      <w:r w:rsidR="007149A6" w:rsidRPr="009E5860">
        <w:rPr>
          <w:rFonts w:ascii="Calibri" w:hAnsi="Calibri" w:cs="Calibri"/>
          <w:b/>
          <w:sz w:val="22"/>
          <w:szCs w:val="22"/>
        </w:rPr>
        <w:t>tidig er kommet langt flere 65+</w:t>
      </w:r>
      <w:r w:rsidR="00A00237" w:rsidRPr="009E5860">
        <w:rPr>
          <w:rFonts w:ascii="Calibri" w:hAnsi="Calibri" w:cs="Calibri"/>
          <w:b/>
          <w:sz w:val="22"/>
          <w:szCs w:val="22"/>
        </w:rPr>
        <w:t xml:space="preserve"> </w:t>
      </w:r>
      <w:r w:rsidR="007149A6" w:rsidRPr="009E5860">
        <w:rPr>
          <w:rFonts w:ascii="Calibri" w:hAnsi="Calibri" w:cs="Calibri"/>
          <w:b/>
          <w:sz w:val="22"/>
          <w:szCs w:val="22"/>
        </w:rPr>
        <w:t>årige</w:t>
      </w:r>
      <w:r w:rsidRPr="009E5860">
        <w:rPr>
          <w:rFonts w:ascii="Calibri" w:hAnsi="Calibri" w:cs="Calibri"/>
          <w:b/>
          <w:sz w:val="22"/>
          <w:szCs w:val="22"/>
        </w:rPr>
        <w:t xml:space="preserve">. </w:t>
      </w:r>
      <w:r w:rsidR="007149A6" w:rsidRPr="009E5860">
        <w:rPr>
          <w:rFonts w:ascii="Calibri" w:hAnsi="Calibri" w:cs="Calibri"/>
          <w:b/>
          <w:sz w:val="22"/>
          <w:szCs w:val="22"/>
        </w:rPr>
        <w:t xml:space="preserve">Det har ført til et markant </w:t>
      </w:r>
      <w:proofErr w:type="gramStart"/>
      <w:r w:rsidR="007149A6" w:rsidRPr="009E5860">
        <w:rPr>
          <w:rFonts w:ascii="Calibri" w:hAnsi="Calibri" w:cs="Calibri"/>
          <w:b/>
          <w:sz w:val="22"/>
          <w:szCs w:val="22"/>
        </w:rPr>
        <w:t>fald  i</w:t>
      </w:r>
      <w:proofErr w:type="gramEnd"/>
      <w:r w:rsidR="007149A6" w:rsidRPr="009E5860">
        <w:rPr>
          <w:rFonts w:ascii="Calibri" w:hAnsi="Calibri" w:cs="Calibri"/>
          <w:b/>
          <w:sz w:val="22"/>
          <w:szCs w:val="22"/>
        </w:rPr>
        <w:t xml:space="preserve"> den hjemmehjælp, som ældre i gennemsnit modtager</w:t>
      </w:r>
      <w:r w:rsidRPr="009E5860">
        <w:rPr>
          <w:rFonts w:ascii="Calibri" w:hAnsi="Calibri" w:cs="Calibri"/>
          <w:b/>
          <w:sz w:val="22"/>
          <w:szCs w:val="22"/>
        </w:rPr>
        <w:t>.</w:t>
      </w:r>
      <w:r w:rsidR="00584EAF" w:rsidRPr="009E5860">
        <w:rPr>
          <w:rStyle w:val="Fodnotehenvisning"/>
          <w:rFonts w:ascii="Calibri" w:hAnsi="Calibri" w:cs="Calibri"/>
          <w:b/>
          <w:bCs/>
          <w:sz w:val="22"/>
          <w:szCs w:val="22"/>
        </w:rPr>
        <w:footnoteReference w:id="1"/>
      </w:r>
      <w:r w:rsidR="00A703E6" w:rsidRPr="009E5860">
        <w:rPr>
          <w:rFonts w:ascii="Calibri" w:hAnsi="Calibri" w:cs="Calibri"/>
          <w:b/>
          <w:bCs/>
          <w:sz w:val="22"/>
          <w:szCs w:val="22"/>
        </w:rPr>
        <w:t xml:space="preserve"> </w:t>
      </w:r>
      <w:r w:rsidR="00A96FC6" w:rsidRPr="009E5860">
        <w:rPr>
          <w:rFonts w:ascii="Calibri" w:hAnsi="Calibri" w:cs="Calibri"/>
          <w:b/>
          <w:bCs/>
          <w:sz w:val="22"/>
          <w:szCs w:val="22"/>
        </w:rPr>
        <w:t>Dette afspejler sig også i kommunernes ældreudgifter, som</w:t>
      </w:r>
      <w:r w:rsidR="00A6369C">
        <w:rPr>
          <w:rFonts w:ascii="Calibri" w:hAnsi="Calibri" w:cs="Calibri"/>
          <w:b/>
          <w:bCs/>
          <w:sz w:val="22"/>
          <w:szCs w:val="22"/>
        </w:rPr>
        <w:t xml:space="preserve"> - </w:t>
      </w:r>
      <w:r w:rsidR="00800BDF">
        <w:rPr>
          <w:rFonts w:ascii="Calibri" w:hAnsi="Calibri" w:cs="Calibri"/>
          <w:b/>
          <w:bCs/>
          <w:sz w:val="22"/>
          <w:szCs w:val="22"/>
        </w:rPr>
        <w:t xml:space="preserve">på trods af en </w:t>
      </w:r>
      <w:r w:rsidR="00A6369C">
        <w:rPr>
          <w:rFonts w:ascii="Calibri" w:hAnsi="Calibri" w:cs="Calibri"/>
          <w:b/>
          <w:bCs/>
          <w:sz w:val="22"/>
          <w:szCs w:val="22"/>
        </w:rPr>
        <w:t>vis</w:t>
      </w:r>
      <w:r w:rsidR="00800BDF">
        <w:rPr>
          <w:rFonts w:ascii="Calibri" w:hAnsi="Calibri" w:cs="Calibri"/>
          <w:b/>
          <w:bCs/>
          <w:sz w:val="22"/>
          <w:szCs w:val="22"/>
        </w:rPr>
        <w:t xml:space="preserve"> stigning over tiden -</w:t>
      </w:r>
      <w:r w:rsidR="00A96FC6" w:rsidRPr="009E5860">
        <w:rPr>
          <w:rFonts w:ascii="Calibri" w:hAnsi="Calibri" w:cs="Calibri"/>
          <w:b/>
          <w:bCs/>
          <w:sz w:val="22"/>
          <w:szCs w:val="22"/>
        </w:rPr>
        <w:t xml:space="preserve"> på ingen måde har fulgt med den demografiske udvikling. </w:t>
      </w:r>
    </w:p>
    <w:p w14:paraId="37FF51F2" w14:textId="77777777" w:rsidR="00286161" w:rsidRPr="009E5860" w:rsidRDefault="00286161" w:rsidP="00032913">
      <w:pPr>
        <w:rPr>
          <w:rFonts w:ascii="Calibri" w:hAnsi="Calibri" w:cs="Calibri"/>
          <w:sz w:val="22"/>
          <w:szCs w:val="22"/>
        </w:rPr>
      </w:pPr>
    </w:p>
    <w:p w14:paraId="573D2EA6" w14:textId="77E4AB59" w:rsidR="00DB3D21" w:rsidRPr="009E5860" w:rsidRDefault="00ED713C" w:rsidP="00DB3D21">
      <w:pPr>
        <w:rPr>
          <w:rFonts w:ascii="Calibri" w:hAnsi="Calibri" w:cs="Calibri"/>
          <w:b/>
          <w:sz w:val="22"/>
          <w:szCs w:val="22"/>
        </w:rPr>
      </w:pPr>
      <w:r w:rsidRPr="009E5860">
        <w:rPr>
          <w:rFonts w:ascii="Calibri" w:hAnsi="Calibri" w:cs="Calibri"/>
          <w:b/>
          <w:sz w:val="22"/>
          <w:szCs w:val="22"/>
        </w:rPr>
        <w:t xml:space="preserve">Det gennemsnitlige antal hjemmehjælpstimer pr. </w:t>
      </w:r>
      <w:r w:rsidR="00393CB9" w:rsidRPr="009E5860">
        <w:rPr>
          <w:rFonts w:ascii="Calibri" w:hAnsi="Calibri" w:cs="Calibri"/>
          <w:b/>
          <w:sz w:val="22"/>
          <w:szCs w:val="22"/>
        </w:rPr>
        <w:t>65+</w:t>
      </w:r>
      <w:r w:rsidR="00A00237" w:rsidRPr="009E5860">
        <w:rPr>
          <w:rFonts w:ascii="Calibri" w:hAnsi="Calibri" w:cs="Calibri"/>
          <w:b/>
          <w:sz w:val="22"/>
          <w:szCs w:val="22"/>
        </w:rPr>
        <w:t xml:space="preserve"> </w:t>
      </w:r>
      <w:r w:rsidR="00393CB9" w:rsidRPr="009E5860">
        <w:rPr>
          <w:rFonts w:ascii="Calibri" w:hAnsi="Calibri" w:cs="Calibri"/>
          <w:b/>
          <w:sz w:val="22"/>
          <w:szCs w:val="22"/>
        </w:rPr>
        <w:t>årig er faldet med 41 pct</w:t>
      </w:r>
      <w:r w:rsidR="008606F1" w:rsidRPr="009E5860">
        <w:rPr>
          <w:rFonts w:ascii="Calibri" w:hAnsi="Calibri" w:cs="Calibri"/>
          <w:b/>
          <w:sz w:val="22"/>
          <w:szCs w:val="22"/>
        </w:rPr>
        <w:t>.</w:t>
      </w:r>
      <w:r w:rsidR="00393CB9" w:rsidRPr="009E5860">
        <w:rPr>
          <w:rFonts w:ascii="Calibri" w:hAnsi="Calibri" w:cs="Calibri"/>
          <w:b/>
          <w:sz w:val="22"/>
          <w:szCs w:val="22"/>
        </w:rPr>
        <w:t xml:space="preserve"> på bare 10 år</w:t>
      </w:r>
    </w:p>
    <w:p w14:paraId="61336FC4" w14:textId="0A957C54" w:rsidR="00DB3D21" w:rsidRPr="009E5860" w:rsidRDefault="00DB3D21" w:rsidP="00DB3D21">
      <w:pPr>
        <w:rPr>
          <w:rFonts w:ascii="Calibri" w:hAnsi="Calibri" w:cs="Calibri"/>
          <w:sz w:val="22"/>
          <w:szCs w:val="22"/>
        </w:rPr>
      </w:pPr>
      <w:r w:rsidRPr="009E5860">
        <w:rPr>
          <w:rFonts w:ascii="Calibri" w:hAnsi="Calibri" w:cs="Calibri"/>
          <w:sz w:val="22"/>
          <w:szCs w:val="22"/>
        </w:rPr>
        <w:t>På landsplan er hjemmehjælpen for 65+</w:t>
      </w:r>
      <w:r w:rsidR="00A31A0C" w:rsidRPr="009E5860">
        <w:rPr>
          <w:rFonts w:ascii="Calibri" w:hAnsi="Calibri" w:cs="Calibri"/>
          <w:sz w:val="22"/>
          <w:szCs w:val="22"/>
        </w:rPr>
        <w:t xml:space="preserve"> </w:t>
      </w:r>
      <w:r w:rsidRPr="009E5860">
        <w:rPr>
          <w:rFonts w:ascii="Calibri" w:hAnsi="Calibri" w:cs="Calibri"/>
          <w:sz w:val="22"/>
          <w:szCs w:val="22"/>
        </w:rPr>
        <w:t>årige blevet reduceret med 6,7 mio. timer fra 2010 til 2020 svarende til et fald på 24 pct. I samme periode er antallet af 65+</w:t>
      </w:r>
      <w:r w:rsidR="00A31A0C" w:rsidRPr="009E5860">
        <w:rPr>
          <w:rFonts w:ascii="Calibri" w:hAnsi="Calibri" w:cs="Calibri"/>
          <w:sz w:val="22"/>
          <w:szCs w:val="22"/>
        </w:rPr>
        <w:t xml:space="preserve"> </w:t>
      </w:r>
      <w:r w:rsidRPr="009E5860">
        <w:rPr>
          <w:rFonts w:ascii="Calibri" w:hAnsi="Calibri" w:cs="Calibri"/>
          <w:sz w:val="22"/>
          <w:szCs w:val="22"/>
        </w:rPr>
        <w:t xml:space="preserve">årige steget med 28 </w:t>
      </w:r>
      <w:proofErr w:type="gramStart"/>
      <w:r w:rsidRPr="009E5860">
        <w:rPr>
          <w:rFonts w:ascii="Calibri" w:hAnsi="Calibri" w:cs="Calibri"/>
          <w:sz w:val="22"/>
          <w:szCs w:val="22"/>
        </w:rPr>
        <w:t>pct..</w:t>
      </w:r>
      <w:proofErr w:type="gramEnd"/>
      <w:r w:rsidRPr="009E5860">
        <w:rPr>
          <w:rFonts w:ascii="Calibri" w:hAnsi="Calibri" w:cs="Calibri"/>
          <w:sz w:val="22"/>
          <w:szCs w:val="22"/>
        </w:rPr>
        <w:t xml:space="preserve"> Omfanget af den hjemmehjælp, som ældre borgere i gennemsnit modtager, er således blevet drastisk reduceret. Faktisk er det gennemsnitlige antal hjemmehjælpstimer pr. 65+</w:t>
      </w:r>
      <w:r w:rsidR="00A31A0C" w:rsidRPr="009E5860">
        <w:rPr>
          <w:rFonts w:ascii="Calibri" w:hAnsi="Calibri" w:cs="Calibri"/>
          <w:sz w:val="22"/>
          <w:szCs w:val="22"/>
        </w:rPr>
        <w:t xml:space="preserve"> </w:t>
      </w:r>
      <w:r w:rsidRPr="009E5860">
        <w:rPr>
          <w:rFonts w:ascii="Calibri" w:hAnsi="Calibri" w:cs="Calibri"/>
          <w:sz w:val="22"/>
          <w:szCs w:val="22"/>
        </w:rPr>
        <w:t>årig faldet med hele 41</w:t>
      </w:r>
      <w:r w:rsidR="00FB6770" w:rsidRPr="009E5860">
        <w:rPr>
          <w:rFonts w:ascii="Calibri" w:hAnsi="Calibri" w:cs="Calibri"/>
          <w:sz w:val="22"/>
          <w:szCs w:val="22"/>
        </w:rPr>
        <w:t xml:space="preserve"> pct.</w:t>
      </w:r>
      <w:r w:rsidRPr="009E5860">
        <w:rPr>
          <w:rFonts w:ascii="Calibri" w:hAnsi="Calibri" w:cs="Calibri"/>
          <w:sz w:val="22"/>
          <w:szCs w:val="22"/>
        </w:rPr>
        <w:t xml:space="preserve"> på bare 10 år. Det viser Ældre Sagens beregninger baseret på tal for befolkningsudvikling og antallet af visiterede timer til hjemmehjælp fra Danmarks Statistik.</w:t>
      </w:r>
    </w:p>
    <w:p w14:paraId="237B9839" w14:textId="578B7F9F" w:rsidR="006E4A72" w:rsidRPr="009E5860" w:rsidRDefault="006E4A72" w:rsidP="00DB3D21">
      <w:pPr>
        <w:rPr>
          <w:rFonts w:ascii="Calibri" w:hAnsi="Calibri" w:cs="Calibri"/>
          <w:sz w:val="22"/>
          <w:szCs w:val="22"/>
        </w:rPr>
      </w:pPr>
    </w:p>
    <w:p w14:paraId="674E28FF" w14:textId="70FB0EA8" w:rsidR="006E4A72" w:rsidRPr="009E5860" w:rsidRDefault="006E4A72" w:rsidP="006E4A72">
      <w:pPr>
        <w:rPr>
          <w:rFonts w:ascii="Calibri" w:hAnsi="Calibri" w:cs="Calibri"/>
          <w:b/>
          <w:bCs/>
          <w:sz w:val="22"/>
          <w:szCs w:val="22"/>
        </w:rPr>
      </w:pPr>
      <w:r w:rsidRPr="009E5860">
        <w:rPr>
          <w:rFonts w:ascii="Calibri" w:hAnsi="Calibri" w:cs="Calibri"/>
          <w:b/>
          <w:bCs/>
          <w:sz w:val="22"/>
          <w:szCs w:val="22"/>
        </w:rPr>
        <w:t>Samme tendens gør sig gældende for de 80+ årige</w:t>
      </w:r>
      <w:r w:rsidR="00EF394D" w:rsidRPr="009E5860">
        <w:rPr>
          <w:rFonts w:ascii="Calibri" w:hAnsi="Calibri" w:cs="Calibri"/>
          <w:b/>
          <w:bCs/>
          <w:sz w:val="22"/>
          <w:szCs w:val="22"/>
        </w:rPr>
        <w:t xml:space="preserve">, </w:t>
      </w:r>
      <w:r w:rsidR="00393CB9" w:rsidRPr="009E5860">
        <w:rPr>
          <w:rFonts w:ascii="Calibri" w:hAnsi="Calibri" w:cs="Calibri"/>
          <w:b/>
          <w:bCs/>
          <w:sz w:val="22"/>
          <w:szCs w:val="22"/>
        </w:rPr>
        <w:t>hvor de</w:t>
      </w:r>
      <w:r w:rsidR="007D7AFC" w:rsidRPr="009E5860">
        <w:rPr>
          <w:rFonts w:ascii="Calibri" w:hAnsi="Calibri" w:cs="Calibri"/>
          <w:b/>
          <w:bCs/>
          <w:sz w:val="22"/>
          <w:szCs w:val="22"/>
        </w:rPr>
        <w:t>t</w:t>
      </w:r>
      <w:r w:rsidR="00393CB9" w:rsidRPr="009E5860">
        <w:rPr>
          <w:rFonts w:ascii="Calibri" w:hAnsi="Calibri" w:cs="Calibri"/>
          <w:b/>
          <w:bCs/>
          <w:sz w:val="22"/>
          <w:szCs w:val="22"/>
        </w:rPr>
        <w:t xml:space="preserve"> gennemsnitlige </w:t>
      </w:r>
      <w:r w:rsidR="007D7AFC" w:rsidRPr="009E5860">
        <w:rPr>
          <w:rFonts w:ascii="Calibri" w:hAnsi="Calibri" w:cs="Calibri"/>
          <w:b/>
          <w:bCs/>
          <w:sz w:val="22"/>
          <w:szCs w:val="22"/>
        </w:rPr>
        <w:t xml:space="preserve">antal </w:t>
      </w:r>
      <w:r w:rsidR="00393CB9" w:rsidRPr="009E5860">
        <w:rPr>
          <w:rFonts w:ascii="Calibri" w:hAnsi="Calibri" w:cs="Calibri"/>
          <w:b/>
          <w:bCs/>
          <w:sz w:val="22"/>
          <w:szCs w:val="22"/>
        </w:rPr>
        <w:t>hjemmehjælp</w:t>
      </w:r>
      <w:r w:rsidR="007D7AFC" w:rsidRPr="009E5860">
        <w:rPr>
          <w:rFonts w:ascii="Calibri" w:hAnsi="Calibri" w:cs="Calibri"/>
          <w:b/>
          <w:bCs/>
          <w:sz w:val="22"/>
          <w:szCs w:val="22"/>
        </w:rPr>
        <w:t>stimer</w:t>
      </w:r>
      <w:r w:rsidR="00393CB9" w:rsidRPr="009E5860">
        <w:rPr>
          <w:rFonts w:ascii="Calibri" w:hAnsi="Calibri" w:cs="Calibri"/>
          <w:b/>
          <w:bCs/>
          <w:sz w:val="22"/>
          <w:szCs w:val="22"/>
        </w:rPr>
        <w:t xml:space="preserve"> er faldet med 42 pct.</w:t>
      </w:r>
    </w:p>
    <w:p w14:paraId="3C87BC11" w14:textId="5716913C" w:rsidR="006E4A72" w:rsidRPr="009E5860" w:rsidRDefault="006E4A72" w:rsidP="006E4A72">
      <w:pPr>
        <w:rPr>
          <w:rFonts w:ascii="Calibri" w:hAnsi="Calibri" w:cs="Calibri"/>
          <w:sz w:val="22"/>
          <w:szCs w:val="22"/>
        </w:rPr>
      </w:pPr>
      <w:r w:rsidRPr="009E5860">
        <w:rPr>
          <w:rFonts w:ascii="Calibri" w:hAnsi="Calibri" w:cs="Calibri"/>
          <w:sz w:val="22"/>
          <w:szCs w:val="22"/>
        </w:rPr>
        <w:t>Kigger man kun på de 80+ årige, er omfanget af hjemmehjælpen faldet med 5,2 mio. timer eller knapt 28</w:t>
      </w:r>
      <w:r w:rsidR="00FB6770" w:rsidRPr="009E5860">
        <w:rPr>
          <w:rFonts w:ascii="Calibri" w:hAnsi="Calibri" w:cs="Calibri"/>
          <w:sz w:val="22"/>
          <w:szCs w:val="22"/>
        </w:rPr>
        <w:t xml:space="preserve"> pct.</w:t>
      </w:r>
      <w:r w:rsidRPr="009E5860">
        <w:rPr>
          <w:rFonts w:ascii="Calibri" w:hAnsi="Calibri" w:cs="Calibri"/>
          <w:sz w:val="22"/>
          <w:szCs w:val="22"/>
        </w:rPr>
        <w:t xml:space="preserve"> fra 2010 til 2020. Antallet af 80+ årige er i samme periode steget med 19,7</w:t>
      </w:r>
      <w:r w:rsidR="00FB6770" w:rsidRPr="009E5860">
        <w:rPr>
          <w:rFonts w:ascii="Calibri" w:hAnsi="Calibri" w:cs="Calibri"/>
          <w:sz w:val="22"/>
          <w:szCs w:val="22"/>
        </w:rPr>
        <w:t xml:space="preserve"> </w:t>
      </w:r>
      <w:proofErr w:type="gramStart"/>
      <w:r w:rsidR="00FB6770" w:rsidRPr="009E5860">
        <w:rPr>
          <w:rFonts w:ascii="Calibri" w:hAnsi="Calibri" w:cs="Calibri"/>
          <w:sz w:val="22"/>
          <w:szCs w:val="22"/>
        </w:rPr>
        <w:t>pct.</w:t>
      </w:r>
      <w:r w:rsidRPr="009E5860">
        <w:rPr>
          <w:rFonts w:ascii="Calibri" w:hAnsi="Calibri" w:cs="Calibri"/>
          <w:sz w:val="22"/>
          <w:szCs w:val="22"/>
        </w:rPr>
        <w:t>.</w:t>
      </w:r>
      <w:proofErr w:type="gramEnd"/>
      <w:r w:rsidRPr="009E5860">
        <w:rPr>
          <w:rFonts w:ascii="Calibri" w:hAnsi="Calibri" w:cs="Calibri"/>
          <w:sz w:val="22"/>
          <w:szCs w:val="22"/>
        </w:rPr>
        <w:t xml:space="preserve"> Dermed er omfanget af hjemmehjælp pr. 80+ årig i eget hjem faldet fra i gennemsnit 95,4 timer om året i 2010 til 55,6 timer i 2020 svarende til et fald på 42</w:t>
      </w:r>
      <w:r w:rsidR="00FB6770" w:rsidRPr="009E5860">
        <w:rPr>
          <w:rFonts w:ascii="Calibri" w:hAnsi="Calibri" w:cs="Calibri"/>
          <w:sz w:val="22"/>
          <w:szCs w:val="22"/>
        </w:rPr>
        <w:t xml:space="preserve"> pct.</w:t>
      </w:r>
    </w:p>
    <w:p w14:paraId="3E46B490" w14:textId="77777777" w:rsidR="006E4A72" w:rsidRPr="009E5860" w:rsidRDefault="006E4A72" w:rsidP="006E4A72">
      <w:pPr>
        <w:rPr>
          <w:rFonts w:ascii="Calibri" w:hAnsi="Calibri" w:cs="Calibri"/>
          <w:sz w:val="22"/>
          <w:szCs w:val="22"/>
        </w:rPr>
      </w:pPr>
    </w:p>
    <w:p w14:paraId="1DABEA74" w14:textId="16639088" w:rsidR="006E4A72" w:rsidRPr="009E5860" w:rsidRDefault="006E4A72" w:rsidP="00DB3D21">
      <w:pPr>
        <w:rPr>
          <w:rFonts w:ascii="Calibri" w:hAnsi="Calibri" w:cs="Calibri"/>
          <w:sz w:val="22"/>
          <w:szCs w:val="22"/>
        </w:rPr>
      </w:pPr>
      <w:r w:rsidRPr="009E5860">
        <w:rPr>
          <w:rFonts w:ascii="Calibri" w:hAnsi="Calibri" w:cs="Calibri"/>
          <w:sz w:val="22"/>
          <w:szCs w:val="22"/>
        </w:rPr>
        <w:t xml:space="preserve">Faldet skyldes både, at færre borgere </w:t>
      </w:r>
      <w:r w:rsidR="00CD5868">
        <w:rPr>
          <w:rFonts w:ascii="Calibri" w:hAnsi="Calibri" w:cs="Calibri"/>
          <w:sz w:val="22"/>
          <w:szCs w:val="22"/>
        </w:rPr>
        <w:t>modtager</w:t>
      </w:r>
      <w:r w:rsidR="00EF394D" w:rsidRPr="009E5860">
        <w:rPr>
          <w:rFonts w:ascii="Calibri" w:hAnsi="Calibri" w:cs="Calibri"/>
          <w:sz w:val="22"/>
          <w:szCs w:val="22"/>
        </w:rPr>
        <w:t xml:space="preserve"> </w:t>
      </w:r>
      <w:r w:rsidRPr="009E5860">
        <w:rPr>
          <w:rFonts w:ascii="Calibri" w:hAnsi="Calibri" w:cs="Calibri"/>
          <w:sz w:val="22"/>
          <w:szCs w:val="22"/>
        </w:rPr>
        <w:t>hjemmehjælp. Og samtidigt får hver modtager færre timer i gennemsnit.</w:t>
      </w:r>
    </w:p>
    <w:p w14:paraId="0D53ADC3" w14:textId="77777777" w:rsidR="00DB3D21" w:rsidRPr="009E5860" w:rsidRDefault="00DB3D21" w:rsidP="00DB3D21">
      <w:pPr>
        <w:rPr>
          <w:rFonts w:ascii="Calibri" w:hAnsi="Calibri" w:cs="Calibri"/>
          <w:sz w:val="22"/>
          <w:szCs w:val="22"/>
        </w:rPr>
      </w:pPr>
    </w:p>
    <w:p w14:paraId="5E3DD978" w14:textId="77777777" w:rsidR="00DB3D21" w:rsidRPr="009E5860" w:rsidRDefault="00DB3D21" w:rsidP="00DB3D21">
      <w:pPr>
        <w:rPr>
          <w:rFonts w:ascii="Calibri" w:hAnsi="Calibri" w:cs="Calibri"/>
          <w:b/>
          <w:bCs/>
          <w:sz w:val="22"/>
          <w:szCs w:val="22"/>
        </w:rPr>
      </w:pPr>
      <w:r w:rsidRPr="009E5860">
        <w:rPr>
          <w:rFonts w:ascii="Calibri" w:hAnsi="Calibri" w:cs="Calibri"/>
          <w:b/>
          <w:bCs/>
          <w:sz w:val="22"/>
          <w:szCs w:val="22"/>
        </w:rPr>
        <w:t>Når der tages højde for befolkningsudviklingen, mangler der 14,9 mio. hjemmehjælpstimer for at nå niveauet for 2010</w:t>
      </w:r>
    </w:p>
    <w:p w14:paraId="409D69BE" w14:textId="540F8C72" w:rsidR="006A2F73" w:rsidRPr="009E5860" w:rsidRDefault="00EF394D" w:rsidP="00032913">
      <w:pPr>
        <w:rPr>
          <w:rFonts w:ascii="Calibri" w:hAnsi="Calibri" w:cs="Calibri"/>
          <w:sz w:val="22"/>
          <w:szCs w:val="22"/>
        </w:rPr>
      </w:pPr>
      <w:r w:rsidRPr="009E5860">
        <w:rPr>
          <w:rFonts w:ascii="Calibri" w:hAnsi="Calibri" w:cs="Calibri"/>
          <w:sz w:val="22"/>
          <w:szCs w:val="22"/>
        </w:rPr>
        <w:t xml:space="preserve">For at </w:t>
      </w:r>
      <w:r w:rsidR="00DB3D21" w:rsidRPr="009E5860">
        <w:rPr>
          <w:rFonts w:ascii="Calibri" w:hAnsi="Calibri" w:cs="Calibri"/>
          <w:sz w:val="22"/>
          <w:szCs w:val="22"/>
        </w:rPr>
        <w:t xml:space="preserve">hjemmehjælpen var fulgt med befolkningsudviklingen, skulle antallet af hjemmehjælpstimer </w:t>
      </w:r>
      <w:r w:rsidR="009E1C92" w:rsidRPr="009E5860">
        <w:rPr>
          <w:rFonts w:ascii="Calibri" w:hAnsi="Calibri" w:cs="Calibri"/>
          <w:sz w:val="22"/>
          <w:szCs w:val="22"/>
        </w:rPr>
        <w:t>til 65+</w:t>
      </w:r>
      <w:r w:rsidR="00A31A0C" w:rsidRPr="009E5860">
        <w:rPr>
          <w:rFonts w:ascii="Calibri" w:hAnsi="Calibri" w:cs="Calibri"/>
          <w:sz w:val="22"/>
          <w:szCs w:val="22"/>
        </w:rPr>
        <w:t xml:space="preserve"> </w:t>
      </w:r>
      <w:r w:rsidR="009E1C92" w:rsidRPr="009E5860">
        <w:rPr>
          <w:rFonts w:ascii="Calibri" w:hAnsi="Calibri" w:cs="Calibri"/>
          <w:sz w:val="22"/>
          <w:szCs w:val="22"/>
        </w:rPr>
        <w:t>årige</w:t>
      </w:r>
      <w:r w:rsidR="003C50B5" w:rsidRPr="009E5860">
        <w:rPr>
          <w:rFonts w:ascii="Calibri" w:hAnsi="Calibri" w:cs="Calibri"/>
          <w:sz w:val="22"/>
          <w:szCs w:val="22"/>
        </w:rPr>
        <w:t>,</w:t>
      </w:r>
      <w:r w:rsidR="009E1C92" w:rsidRPr="009E5860">
        <w:rPr>
          <w:rFonts w:ascii="Calibri" w:hAnsi="Calibri" w:cs="Calibri"/>
          <w:sz w:val="22"/>
          <w:szCs w:val="22"/>
        </w:rPr>
        <w:t xml:space="preserve"> </w:t>
      </w:r>
      <w:r w:rsidR="00DB3D21" w:rsidRPr="009E5860">
        <w:rPr>
          <w:rFonts w:ascii="Calibri" w:hAnsi="Calibri" w:cs="Calibri"/>
          <w:sz w:val="22"/>
          <w:szCs w:val="22"/>
        </w:rPr>
        <w:t>ifølge Ældre Sagens beregninger</w:t>
      </w:r>
      <w:r w:rsidR="00F6303B" w:rsidRPr="009E5860">
        <w:rPr>
          <w:rFonts w:ascii="Calibri" w:hAnsi="Calibri" w:cs="Calibri"/>
          <w:sz w:val="22"/>
          <w:szCs w:val="22"/>
        </w:rPr>
        <w:t>,</w:t>
      </w:r>
      <w:r w:rsidR="00DB3D21" w:rsidRPr="009E5860">
        <w:rPr>
          <w:rFonts w:ascii="Calibri" w:hAnsi="Calibri" w:cs="Calibri"/>
          <w:sz w:val="22"/>
          <w:szCs w:val="22"/>
        </w:rPr>
        <w:t xml:space="preserve"> være steget med 8,2 mio. timer fra 2010 til 2020. Da antallet af hjemmehjælpstimer i samme periode er faldet med 6,7 mio. timer, ”manglede” der så at sige 14,9 mio. hjemmehjælpstimer i 2020 for at nå det samme niveau pr. ældre som i 2010. </w:t>
      </w:r>
      <w:r w:rsidR="00F6303B" w:rsidRPr="009E5860">
        <w:rPr>
          <w:rFonts w:ascii="Calibri" w:hAnsi="Calibri" w:cs="Calibri"/>
          <w:sz w:val="22"/>
          <w:szCs w:val="22"/>
        </w:rPr>
        <w:t>Dette</w:t>
      </w:r>
      <w:r w:rsidR="00DB3D21" w:rsidRPr="009E5860">
        <w:rPr>
          <w:rFonts w:ascii="Calibri" w:hAnsi="Calibri" w:cs="Calibri"/>
          <w:sz w:val="22"/>
          <w:szCs w:val="22"/>
        </w:rPr>
        <w:t xml:space="preserve"> tal </w:t>
      </w:r>
      <w:r w:rsidR="00F6303B" w:rsidRPr="009E5860">
        <w:rPr>
          <w:rFonts w:ascii="Calibri" w:hAnsi="Calibri" w:cs="Calibri"/>
          <w:sz w:val="22"/>
          <w:szCs w:val="22"/>
        </w:rPr>
        <w:t>kalde</w:t>
      </w:r>
      <w:r w:rsidR="008606F1" w:rsidRPr="009E5860">
        <w:rPr>
          <w:rFonts w:ascii="Calibri" w:hAnsi="Calibri" w:cs="Calibri"/>
          <w:sz w:val="22"/>
          <w:szCs w:val="22"/>
        </w:rPr>
        <w:t>s</w:t>
      </w:r>
      <w:r w:rsidR="00F6303B" w:rsidRPr="009E5860">
        <w:rPr>
          <w:rFonts w:ascii="Calibri" w:hAnsi="Calibri" w:cs="Calibri"/>
          <w:sz w:val="22"/>
          <w:szCs w:val="22"/>
        </w:rPr>
        <w:t xml:space="preserve"> </w:t>
      </w:r>
      <w:r w:rsidR="00DB3D21" w:rsidRPr="009E5860">
        <w:rPr>
          <w:rFonts w:ascii="Calibri" w:hAnsi="Calibri" w:cs="Calibri"/>
          <w:sz w:val="22"/>
          <w:szCs w:val="22"/>
        </w:rPr>
        <w:t>for ”mankoen” og er illustreret i figur 1.</w:t>
      </w:r>
    </w:p>
    <w:p w14:paraId="7864EA7E" w14:textId="77777777" w:rsidR="007C1DD1" w:rsidRPr="009E5860" w:rsidRDefault="007C1DD1" w:rsidP="00032913">
      <w:pPr>
        <w:rPr>
          <w:rFonts w:ascii="Calibri" w:hAnsi="Calibri" w:cs="Calibri"/>
          <w:sz w:val="22"/>
          <w:szCs w:val="22"/>
        </w:rPr>
      </w:pPr>
    </w:p>
    <w:p w14:paraId="40AF4A4E" w14:textId="77777777" w:rsidR="0037210B" w:rsidRPr="009E5860" w:rsidRDefault="0037210B" w:rsidP="0037210B">
      <w:pPr>
        <w:rPr>
          <w:rFonts w:ascii="Calibri" w:hAnsi="Calibri" w:cs="Calibri"/>
          <w:b/>
          <w:bCs/>
          <w:sz w:val="22"/>
          <w:szCs w:val="22"/>
        </w:rPr>
      </w:pPr>
      <w:r w:rsidRPr="009E5860">
        <w:rPr>
          <w:rFonts w:ascii="Calibri" w:hAnsi="Calibri" w:cs="Calibri"/>
          <w:b/>
          <w:bCs/>
          <w:sz w:val="22"/>
          <w:szCs w:val="22"/>
        </w:rPr>
        <w:lastRenderedPageBreak/>
        <w:t>Der er store kommunale forskelle på, hvor meget der er skåret i hjemmehjælpen</w:t>
      </w:r>
    </w:p>
    <w:p w14:paraId="1FC276BE" w14:textId="4C949EA4" w:rsidR="0037210B" w:rsidRPr="009E5860" w:rsidRDefault="0037210B" w:rsidP="0037210B">
      <w:pPr>
        <w:rPr>
          <w:rFonts w:ascii="Calibri" w:hAnsi="Calibri" w:cs="Calibri"/>
          <w:sz w:val="22"/>
          <w:szCs w:val="22"/>
        </w:rPr>
      </w:pPr>
      <w:r w:rsidRPr="009E5860">
        <w:rPr>
          <w:rFonts w:ascii="Calibri" w:hAnsi="Calibri" w:cs="Calibri"/>
          <w:sz w:val="22"/>
          <w:szCs w:val="22"/>
        </w:rPr>
        <w:t xml:space="preserve">Der er store forskelle på, hvor meget kommunerne har skåret i hjemmehjælpen, og hvordan den demografiske udvikling i den enkelte kommune har været. Det betyder også, at der er stor forskel på, hvor meget den gennemsnitlige hjemmehjælp </w:t>
      </w:r>
      <w:r w:rsidR="00EF394D" w:rsidRPr="009E5860">
        <w:rPr>
          <w:rFonts w:ascii="Calibri" w:hAnsi="Calibri" w:cs="Calibri"/>
          <w:sz w:val="22"/>
          <w:szCs w:val="22"/>
        </w:rPr>
        <w:t xml:space="preserve">har udviklet sig </w:t>
      </w:r>
      <w:r w:rsidRPr="009E5860">
        <w:rPr>
          <w:rFonts w:ascii="Calibri" w:hAnsi="Calibri" w:cs="Calibri"/>
          <w:sz w:val="22"/>
          <w:szCs w:val="22"/>
        </w:rPr>
        <w:t xml:space="preserve">i de enkelte kommuner siden 2010. </w:t>
      </w:r>
    </w:p>
    <w:p w14:paraId="025219CA" w14:textId="77777777" w:rsidR="0037210B" w:rsidRPr="009E5860" w:rsidRDefault="0037210B" w:rsidP="0037210B">
      <w:pPr>
        <w:rPr>
          <w:rFonts w:ascii="Calibri" w:hAnsi="Calibri" w:cs="Calibri"/>
          <w:sz w:val="22"/>
          <w:szCs w:val="22"/>
        </w:rPr>
      </w:pPr>
    </w:p>
    <w:p w14:paraId="22B407CB" w14:textId="248DEBDB" w:rsidR="0037210B" w:rsidRPr="009E5860" w:rsidRDefault="0037210B" w:rsidP="0037210B">
      <w:pPr>
        <w:rPr>
          <w:rFonts w:ascii="Calibri" w:hAnsi="Calibri" w:cs="Calibri"/>
          <w:sz w:val="22"/>
          <w:szCs w:val="22"/>
        </w:rPr>
      </w:pPr>
      <w:r w:rsidRPr="009E5860">
        <w:rPr>
          <w:rFonts w:ascii="Calibri" w:hAnsi="Calibri" w:cs="Calibri"/>
          <w:sz w:val="22"/>
          <w:szCs w:val="22"/>
        </w:rPr>
        <w:t>Kort 1 viser den procentvise ændring i det gennemsnitlige antal visiterede hjemmehjælpstimer pr. 65+</w:t>
      </w:r>
      <w:r w:rsidR="00A00237" w:rsidRPr="009E5860">
        <w:rPr>
          <w:rFonts w:ascii="Calibri" w:hAnsi="Calibri" w:cs="Calibri"/>
          <w:sz w:val="22"/>
          <w:szCs w:val="22"/>
        </w:rPr>
        <w:t xml:space="preserve"> </w:t>
      </w:r>
      <w:r w:rsidRPr="009E5860">
        <w:rPr>
          <w:rFonts w:ascii="Calibri" w:hAnsi="Calibri" w:cs="Calibri"/>
          <w:sz w:val="22"/>
          <w:szCs w:val="22"/>
        </w:rPr>
        <w:t>årige i eget hjem fra 2010 til 2020</w:t>
      </w:r>
      <w:r w:rsidR="00610FDF" w:rsidRPr="009E5860">
        <w:rPr>
          <w:rFonts w:ascii="Calibri" w:hAnsi="Calibri" w:cs="Calibri"/>
          <w:sz w:val="22"/>
          <w:szCs w:val="22"/>
        </w:rPr>
        <w:t>.</w:t>
      </w:r>
      <w:r w:rsidRPr="009E5860">
        <w:rPr>
          <w:rFonts w:ascii="Calibri" w:hAnsi="Calibri" w:cs="Calibri"/>
          <w:sz w:val="22"/>
          <w:szCs w:val="22"/>
        </w:rPr>
        <w:t xml:space="preserve"> I 88 kommuner er det gennemsnitlige antal timer faldet, hvoraf det i 25 kommuner er mere end halveret. Faldet dækker både over et fald i antallet af hjemmehjælpsmodtagere og -timer pr. modtager fra 2010 til 2020. </w:t>
      </w:r>
      <w:r w:rsidR="00EA618E" w:rsidRPr="009E5860">
        <w:rPr>
          <w:rFonts w:ascii="Calibri" w:hAnsi="Calibri" w:cs="Calibri"/>
          <w:sz w:val="22"/>
          <w:szCs w:val="22"/>
        </w:rPr>
        <w:t>Blandt</w:t>
      </w:r>
      <w:r w:rsidR="004868D5" w:rsidRPr="009E5860">
        <w:rPr>
          <w:rFonts w:ascii="Calibri" w:hAnsi="Calibri" w:cs="Calibri"/>
          <w:sz w:val="22"/>
          <w:szCs w:val="22"/>
        </w:rPr>
        <w:t xml:space="preserve"> de 80+</w:t>
      </w:r>
      <w:r w:rsidR="00A00237" w:rsidRPr="009E5860">
        <w:rPr>
          <w:rFonts w:ascii="Calibri" w:hAnsi="Calibri" w:cs="Calibri"/>
          <w:sz w:val="22"/>
          <w:szCs w:val="22"/>
        </w:rPr>
        <w:t xml:space="preserve"> </w:t>
      </w:r>
      <w:r w:rsidR="004868D5" w:rsidRPr="009E5860">
        <w:rPr>
          <w:rFonts w:ascii="Calibri" w:hAnsi="Calibri" w:cs="Calibri"/>
          <w:sz w:val="22"/>
          <w:szCs w:val="22"/>
        </w:rPr>
        <w:t>årige</w:t>
      </w:r>
      <w:r w:rsidR="00653F31" w:rsidRPr="009E5860">
        <w:rPr>
          <w:rFonts w:ascii="Calibri" w:hAnsi="Calibri" w:cs="Calibri"/>
          <w:sz w:val="22"/>
          <w:szCs w:val="22"/>
        </w:rPr>
        <w:t xml:space="preserve"> </w:t>
      </w:r>
      <w:r w:rsidR="00EA618E" w:rsidRPr="009E5860">
        <w:rPr>
          <w:rFonts w:ascii="Calibri" w:hAnsi="Calibri" w:cs="Calibri"/>
          <w:sz w:val="22"/>
          <w:szCs w:val="22"/>
        </w:rPr>
        <w:t xml:space="preserve">er billedet det samme. Her </w:t>
      </w:r>
      <w:r w:rsidR="00653F31" w:rsidRPr="009E5860">
        <w:rPr>
          <w:rFonts w:ascii="Calibri" w:hAnsi="Calibri" w:cs="Calibri"/>
          <w:sz w:val="22"/>
          <w:szCs w:val="22"/>
        </w:rPr>
        <w:t>er</w:t>
      </w:r>
      <w:r w:rsidR="004868D5" w:rsidRPr="009E5860">
        <w:rPr>
          <w:rFonts w:ascii="Calibri" w:hAnsi="Calibri" w:cs="Calibri"/>
          <w:sz w:val="22"/>
          <w:szCs w:val="22"/>
        </w:rPr>
        <w:t xml:space="preserve"> hjemmehjælpen pr. 80+</w:t>
      </w:r>
      <w:r w:rsidR="00A00237" w:rsidRPr="009E5860">
        <w:rPr>
          <w:rFonts w:ascii="Calibri" w:hAnsi="Calibri" w:cs="Calibri"/>
          <w:sz w:val="22"/>
          <w:szCs w:val="22"/>
        </w:rPr>
        <w:t xml:space="preserve"> </w:t>
      </w:r>
      <w:r w:rsidR="004868D5" w:rsidRPr="009E5860">
        <w:rPr>
          <w:rFonts w:ascii="Calibri" w:hAnsi="Calibri" w:cs="Calibri"/>
          <w:sz w:val="22"/>
          <w:szCs w:val="22"/>
        </w:rPr>
        <w:t xml:space="preserve">årig </w:t>
      </w:r>
      <w:r w:rsidR="002164E1" w:rsidRPr="009E5860">
        <w:rPr>
          <w:rFonts w:ascii="Calibri" w:hAnsi="Calibri" w:cs="Calibri"/>
          <w:sz w:val="22"/>
          <w:szCs w:val="22"/>
        </w:rPr>
        <w:t xml:space="preserve">faldet i 89 kommuner, hvoraf den er mere end halveret i </w:t>
      </w:r>
      <w:r w:rsidR="004868D5" w:rsidRPr="009E5860">
        <w:rPr>
          <w:rFonts w:ascii="Calibri" w:hAnsi="Calibri" w:cs="Calibri"/>
          <w:sz w:val="22"/>
          <w:szCs w:val="22"/>
        </w:rPr>
        <w:t>27 kommuner</w:t>
      </w:r>
      <w:r w:rsidR="003C50B5" w:rsidRPr="009E5860">
        <w:rPr>
          <w:rFonts w:ascii="Calibri" w:hAnsi="Calibri" w:cs="Calibri"/>
          <w:sz w:val="22"/>
          <w:szCs w:val="22"/>
        </w:rPr>
        <w:t>, jf. kort 2</w:t>
      </w:r>
      <w:r w:rsidR="004868D5" w:rsidRPr="009E5860">
        <w:rPr>
          <w:rFonts w:ascii="Calibri" w:hAnsi="Calibri" w:cs="Calibri"/>
          <w:sz w:val="22"/>
          <w:szCs w:val="22"/>
        </w:rPr>
        <w:t>.</w:t>
      </w:r>
    </w:p>
    <w:p w14:paraId="6F9BAD12" w14:textId="77777777" w:rsidR="0037210B" w:rsidRPr="009E5860" w:rsidRDefault="0037210B" w:rsidP="0037210B">
      <w:pPr>
        <w:pStyle w:val="Default"/>
        <w:rPr>
          <w:rFonts w:ascii="Calibri" w:hAnsi="Calibri" w:cs="Calibri"/>
          <w:sz w:val="22"/>
          <w:szCs w:val="22"/>
        </w:rPr>
      </w:pPr>
    </w:p>
    <w:p w14:paraId="6AD6D87A" w14:textId="41B193E7" w:rsidR="00FA25B0" w:rsidRPr="009E5860" w:rsidRDefault="0037210B" w:rsidP="0037210B">
      <w:pPr>
        <w:rPr>
          <w:rFonts w:ascii="Calibri" w:hAnsi="Calibri" w:cs="Calibri"/>
          <w:sz w:val="22"/>
          <w:szCs w:val="22"/>
        </w:rPr>
      </w:pPr>
      <w:r w:rsidRPr="009E5860">
        <w:rPr>
          <w:rFonts w:ascii="Calibri" w:hAnsi="Calibri" w:cs="Calibri"/>
          <w:sz w:val="22"/>
          <w:szCs w:val="22"/>
        </w:rPr>
        <w:t xml:space="preserve">Man skal være opmærksom på, at kommunerne ikke ydede det samme niveau af hjemmehjælp i 2010. Tallene siger derfor ikke noget om, hvilke kommuner, der giver mest eller mindst hjemmehjælp til ældre, men udelukkende hvor det gennemsnitlige antal visiterede hjemmehjælpstimer til ældre er faldet mest fra 2010 til 2020 ifølge oplysninger fra Danmarks Statistik. </w:t>
      </w:r>
    </w:p>
    <w:p w14:paraId="5483CD26" w14:textId="77777777" w:rsidR="008C19B1" w:rsidRPr="009E5860" w:rsidRDefault="008C19B1" w:rsidP="0037210B">
      <w:pPr>
        <w:rPr>
          <w:rFonts w:ascii="Calibri" w:hAnsi="Calibri" w:cs="Calibri"/>
          <w:sz w:val="22"/>
          <w:szCs w:val="22"/>
        </w:rPr>
      </w:pPr>
    </w:p>
    <w:p w14:paraId="4FD19224" w14:textId="33FD96F2" w:rsidR="007149A6" w:rsidRDefault="007D7AFC" w:rsidP="0037210B">
      <w:pPr>
        <w:rPr>
          <w:rFonts w:ascii="Calibri" w:hAnsi="Calibri" w:cs="Calibri"/>
          <w:sz w:val="22"/>
          <w:szCs w:val="22"/>
        </w:rPr>
      </w:pPr>
      <w:r w:rsidRPr="009E5860">
        <w:rPr>
          <w:rFonts w:ascii="Calibri" w:hAnsi="Calibri" w:cs="Calibri"/>
          <w:sz w:val="22"/>
          <w:szCs w:val="22"/>
        </w:rPr>
        <w:t xml:space="preserve">Det skal bemærkes at udover fald i serviceniveauet kan andre faktorer også </w:t>
      </w:r>
      <w:r w:rsidR="007149A6" w:rsidRPr="009E5860">
        <w:rPr>
          <w:rFonts w:ascii="Calibri" w:hAnsi="Calibri" w:cs="Calibri"/>
          <w:sz w:val="22"/>
          <w:szCs w:val="22"/>
        </w:rPr>
        <w:t xml:space="preserve">have betydning for </w:t>
      </w:r>
      <w:r w:rsidRPr="009E5860">
        <w:rPr>
          <w:rFonts w:ascii="Calibri" w:hAnsi="Calibri" w:cs="Calibri"/>
          <w:sz w:val="22"/>
          <w:szCs w:val="22"/>
        </w:rPr>
        <w:t>udviklingen i de</w:t>
      </w:r>
      <w:r w:rsidR="001C1CF8" w:rsidRPr="009E5860">
        <w:rPr>
          <w:rFonts w:ascii="Calibri" w:hAnsi="Calibri" w:cs="Calibri"/>
          <w:sz w:val="22"/>
          <w:szCs w:val="22"/>
        </w:rPr>
        <w:t>t</w:t>
      </w:r>
      <w:r w:rsidRPr="009E5860">
        <w:rPr>
          <w:rFonts w:ascii="Calibri" w:hAnsi="Calibri" w:cs="Calibri"/>
          <w:sz w:val="22"/>
          <w:szCs w:val="22"/>
        </w:rPr>
        <w:t xml:space="preserve"> gennemsnitlige antal hjemmehjælpstimer pr</w:t>
      </w:r>
      <w:r w:rsidR="007149A6" w:rsidRPr="009E5860">
        <w:rPr>
          <w:rFonts w:ascii="Calibri" w:hAnsi="Calibri" w:cs="Calibri"/>
          <w:sz w:val="22"/>
          <w:szCs w:val="22"/>
        </w:rPr>
        <w:t>.</w:t>
      </w:r>
      <w:r w:rsidRPr="009E5860">
        <w:rPr>
          <w:rFonts w:ascii="Calibri" w:hAnsi="Calibri" w:cs="Calibri"/>
          <w:sz w:val="22"/>
          <w:szCs w:val="22"/>
        </w:rPr>
        <w:t xml:space="preserve"> 65+ årig.</w:t>
      </w:r>
      <w:r w:rsidR="00EA5378">
        <w:rPr>
          <w:rFonts w:ascii="Calibri" w:hAnsi="Calibri" w:cs="Calibri"/>
          <w:sz w:val="22"/>
          <w:szCs w:val="22"/>
        </w:rPr>
        <w:t xml:space="preserve"> </w:t>
      </w:r>
      <w:r w:rsidRPr="009E5860">
        <w:rPr>
          <w:rFonts w:ascii="Calibri" w:hAnsi="Calibri" w:cs="Calibri"/>
          <w:sz w:val="22"/>
          <w:szCs w:val="22"/>
        </w:rPr>
        <w:t xml:space="preserve">For det første kan der være sket en forskydning i alderssammensætningen blandt de 65+ årige. </w:t>
      </w:r>
      <w:r w:rsidR="0037210B" w:rsidRPr="009E5860">
        <w:rPr>
          <w:rFonts w:ascii="Calibri" w:hAnsi="Calibri" w:cs="Calibri"/>
          <w:sz w:val="22"/>
          <w:szCs w:val="22"/>
        </w:rPr>
        <w:t>Behovet for hjemmehjælp stiger med alderen, hvorfor</w:t>
      </w:r>
      <w:r w:rsidRPr="009E5860">
        <w:rPr>
          <w:rFonts w:ascii="Calibri" w:hAnsi="Calibri" w:cs="Calibri"/>
          <w:sz w:val="22"/>
          <w:szCs w:val="22"/>
        </w:rPr>
        <w:t xml:space="preserve"> en udvikling i retning af</w:t>
      </w:r>
      <w:r w:rsidR="0037210B" w:rsidRPr="009E5860">
        <w:rPr>
          <w:rFonts w:ascii="Calibri" w:hAnsi="Calibri" w:cs="Calibri"/>
          <w:sz w:val="22"/>
          <w:szCs w:val="22"/>
        </w:rPr>
        <w:t xml:space="preserve"> færre af de ældste ældre</w:t>
      </w:r>
      <w:r w:rsidR="00EF394D" w:rsidRPr="009E5860">
        <w:rPr>
          <w:rFonts w:ascii="Calibri" w:hAnsi="Calibri" w:cs="Calibri"/>
          <w:sz w:val="22"/>
          <w:szCs w:val="22"/>
        </w:rPr>
        <w:t xml:space="preserve"> til fordel for flere ”yngre” ældre</w:t>
      </w:r>
      <w:r w:rsidR="0037210B" w:rsidRPr="009E5860">
        <w:rPr>
          <w:rFonts w:ascii="Calibri" w:hAnsi="Calibri" w:cs="Calibri"/>
          <w:sz w:val="22"/>
          <w:szCs w:val="22"/>
        </w:rPr>
        <w:t xml:space="preserve"> </w:t>
      </w:r>
      <w:r w:rsidR="00BF100F" w:rsidRPr="009E5860">
        <w:rPr>
          <w:rFonts w:ascii="Calibri" w:hAnsi="Calibri" w:cs="Calibri"/>
          <w:sz w:val="22"/>
          <w:szCs w:val="22"/>
        </w:rPr>
        <w:t xml:space="preserve">i en kommune </w:t>
      </w:r>
      <w:r w:rsidRPr="009E5860">
        <w:rPr>
          <w:rFonts w:ascii="Calibri" w:hAnsi="Calibri" w:cs="Calibri"/>
          <w:sz w:val="22"/>
          <w:szCs w:val="22"/>
        </w:rPr>
        <w:t xml:space="preserve">naturligt vil </w:t>
      </w:r>
      <w:r w:rsidR="0037210B" w:rsidRPr="009E5860">
        <w:rPr>
          <w:rFonts w:ascii="Calibri" w:hAnsi="Calibri" w:cs="Calibri"/>
          <w:sz w:val="22"/>
          <w:szCs w:val="22"/>
        </w:rPr>
        <w:t xml:space="preserve">resultere i en nedgang af hjemmehjælpen pr. 65+årig. </w:t>
      </w:r>
      <w:r w:rsidRPr="009E5860">
        <w:rPr>
          <w:rFonts w:ascii="Calibri" w:hAnsi="Calibri" w:cs="Calibri"/>
          <w:sz w:val="22"/>
          <w:szCs w:val="22"/>
        </w:rPr>
        <w:t xml:space="preserve">For </w:t>
      </w:r>
      <w:r w:rsidR="007149A6" w:rsidRPr="009E5860">
        <w:rPr>
          <w:rFonts w:ascii="Calibri" w:hAnsi="Calibri" w:cs="Calibri"/>
          <w:sz w:val="22"/>
          <w:szCs w:val="22"/>
        </w:rPr>
        <w:t xml:space="preserve">det andet argumenteres der ofte for, at øget fokus på rehabilitering og sund aldring er medvirkende til </w:t>
      </w:r>
      <w:r w:rsidR="005141D3" w:rsidRPr="009E5860">
        <w:rPr>
          <w:rFonts w:ascii="Calibri" w:hAnsi="Calibri" w:cs="Calibri"/>
          <w:sz w:val="22"/>
          <w:szCs w:val="22"/>
        </w:rPr>
        <w:t>e</w:t>
      </w:r>
      <w:r w:rsidR="007149A6" w:rsidRPr="009E5860">
        <w:rPr>
          <w:rFonts w:ascii="Calibri" w:hAnsi="Calibri" w:cs="Calibri"/>
          <w:sz w:val="22"/>
          <w:szCs w:val="22"/>
        </w:rPr>
        <w:t>t faldende hjemmehjælpsbehov hos ældre.</w:t>
      </w:r>
    </w:p>
    <w:p w14:paraId="22949AB5" w14:textId="77777777" w:rsidR="00EA5378" w:rsidRDefault="00EA5378" w:rsidP="0037210B">
      <w:pPr>
        <w:rPr>
          <w:rFonts w:ascii="Calibri" w:hAnsi="Calibri" w:cs="Calibri"/>
          <w:sz w:val="22"/>
          <w:szCs w:val="22"/>
        </w:rPr>
      </w:pPr>
    </w:p>
    <w:p w14:paraId="586AA0AB" w14:textId="56A544DA" w:rsidR="00B35670" w:rsidRPr="009E5860" w:rsidRDefault="00EA5378" w:rsidP="00B35670">
      <w:pPr>
        <w:rPr>
          <w:rFonts w:ascii="Calibri" w:hAnsi="Calibri" w:cs="Calibri"/>
          <w:sz w:val="22"/>
          <w:szCs w:val="22"/>
        </w:rPr>
      </w:pPr>
      <w:r>
        <w:rPr>
          <w:rFonts w:ascii="Calibri" w:hAnsi="Calibri" w:cs="Calibri"/>
          <w:sz w:val="22"/>
          <w:szCs w:val="22"/>
        </w:rPr>
        <w:t>Det er dog ganske usikkert i hvilken grad udviklingen rent faktisk har været ledsaget af sund aldring</w:t>
      </w:r>
      <w:r w:rsidR="00800BDF">
        <w:rPr>
          <w:rFonts w:ascii="Calibri" w:hAnsi="Calibri" w:cs="Calibri"/>
          <w:sz w:val="22"/>
          <w:szCs w:val="22"/>
        </w:rPr>
        <w:t>. Det viser bl.a. Sundhedsstyrelsens rapport fra 2021</w:t>
      </w:r>
      <w:r>
        <w:rPr>
          <w:rFonts w:ascii="Calibri" w:hAnsi="Calibri" w:cs="Calibri"/>
          <w:sz w:val="22"/>
          <w:szCs w:val="22"/>
        </w:rPr>
        <w:t xml:space="preserve"> </w:t>
      </w:r>
      <w:r w:rsidR="00800BDF" w:rsidRPr="009E5860">
        <w:rPr>
          <w:rFonts w:ascii="Calibri" w:hAnsi="Calibri" w:cs="Calibri"/>
          <w:sz w:val="22"/>
          <w:szCs w:val="22"/>
        </w:rPr>
        <w:t>’Sund aldring</w:t>
      </w:r>
      <w:r>
        <w:rPr>
          <w:rFonts w:ascii="Calibri" w:hAnsi="Calibri" w:cs="Calibri"/>
          <w:sz w:val="22"/>
          <w:szCs w:val="22"/>
        </w:rPr>
        <w:t>.</w:t>
      </w:r>
      <w:r w:rsidR="00800BDF" w:rsidRPr="009E5860">
        <w:rPr>
          <w:rFonts w:ascii="Calibri" w:hAnsi="Calibri" w:cs="Calibri"/>
          <w:sz w:val="22"/>
          <w:szCs w:val="22"/>
        </w:rPr>
        <w:t xml:space="preserve"> Udvikling i Danmark i løbet af de seneste årtier’</w:t>
      </w:r>
      <w:r>
        <w:rPr>
          <w:rFonts w:ascii="Calibri" w:hAnsi="Calibri" w:cs="Calibri"/>
          <w:sz w:val="22"/>
          <w:szCs w:val="22"/>
        </w:rPr>
        <w:t xml:space="preserve">. </w:t>
      </w:r>
      <w:r w:rsidR="00B35670" w:rsidRPr="009E5860">
        <w:rPr>
          <w:rFonts w:ascii="Calibri" w:hAnsi="Calibri" w:cs="Calibri"/>
          <w:sz w:val="22"/>
          <w:szCs w:val="22"/>
        </w:rPr>
        <w:t>Baseret på en bred litteraturgennemgang</w:t>
      </w:r>
      <w:r w:rsidR="00A6369C">
        <w:rPr>
          <w:rFonts w:ascii="Calibri" w:hAnsi="Calibri" w:cs="Calibri"/>
          <w:sz w:val="22"/>
          <w:szCs w:val="22"/>
        </w:rPr>
        <w:t xml:space="preserve"> </w:t>
      </w:r>
      <w:r w:rsidR="00B35670" w:rsidRPr="009E5860">
        <w:rPr>
          <w:rFonts w:ascii="Calibri" w:hAnsi="Calibri" w:cs="Calibri"/>
          <w:sz w:val="22"/>
          <w:szCs w:val="22"/>
        </w:rPr>
        <w:t>konkludere</w:t>
      </w:r>
      <w:r w:rsidR="00A6369C">
        <w:rPr>
          <w:rFonts w:ascii="Calibri" w:hAnsi="Calibri" w:cs="Calibri"/>
          <w:sz w:val="22"/>
          <w:szCs w:val="22"/>
        </w:rPr>
        <w:t>r Sundhedsstyrelsen, a</w:t>
      </w:r>
      <w:r w:rsidR="00B35670" w:rsidRPr="009E5860">
        <w:rPr>
          <w:rFonts w:ascii="Calibri" w:hAnsi="Calibri" w:cs="Calibri"/>
          <w:sz w:val="22"/>
          <w:szCs w:val="22"/>
        </w:rPr>
        <w:t>t udviklingen i sund aldring</w:t>
      </w:r>
      <w:r w:rsidR="00E86AA7" w:rsidRPr="009E5860">
        <w:rPr>
          <w:rFonts w:ascii="Calibri" w:hAnsi="Calibri" w:cs="Calibri"/>
          <w:sz w:val="22"/>
          <w:szCs w:val="22"/>
        </w:rPr>
        <w:t xml:space="preserve"> i Danmark</w:t>
      </w:r>
      <w:r w:rsidR="00B35670" w:rsidRPr="009E5860">
        <w:rPr>
          <w:rFonts w:ascii="Calibri" w:hAnsi="Calibri" w:cs="Calibri"/>
          <w:sz w:val="22"/>
          <w:szCs w:val="22"/>
        </w:rPr>
        <w:t xml:space="preserve"> ikke er entydig</w:t>
      </w:r>
      <w:r w:rsidR="00E86AA7" w:rsidRPr="009E5860">
        <w:rPr>
          <w:rFonts w:ascii="Calibri" w:hAnsi="Calibri" w:cs="Calibri"/>
          <w:sz w:val="22"/>
          <w:szCs w:val="22"/>
        </w:rPr>
        <w:t xml:space="preserve">. Nogle </w:t>
      </w:r>
      <w:r w:rsidR="00B35670" w:rsidRPr="009E5860">
        <w:rPr>
          <w:rFonts w:ascii="Calibri" w:hAnsi="Calibri" w:cs="Calibri"/>
          <w:sz w:val="22"/>
          <w:szCs w:val="22"/>
        </w:rPr>
        <w:t>helbredsindikator</w:t>
      </w:r>
      <w:r w:rsidR="00E86AA7" w:rsidRPr="009E5860">
        <w:rPr>
          <w:rFonts w:ascii="Calibri" w:hAnsi="Calibri" w:cs="Calibri"/>
          <w:sz w:val="22"/>
          <w:szCs w:val="22"/>
        </w:rPr>
        <w:t xml:space="preserve">er tyder på at der har været en positiv </w:t>
      </w:r>
      <w:r w:rsidR="005D030A" w:rsidRPr="009E5860">
        <w:rPr>
          <w:rFonts w:ascii="Calibri" w:hAnsi="Calibri" w:cs="Calibri"/>
          <w:sz w:val="22"/>
          <w:szCs w:val="22"/>
        </w:rPr>
        <w:t>udvikling</w:t>
      </w:r>
      <w:r w:rsidR="00E86AA7" w:rsidRPr="009E5860">
        <w:rPr>
          <w:rFonts w:ascii="Calibri" w:hAnsi="Calibri" w:cs="Calibri"/>
          <w:sz w:val="22"/>
          <w:szCs w:val="22"/>
        </w:rPr>
        <w:t xml:space="preserve">, mens andre peger i retning af negativ </w:t>
      </w:r>
      <w:r w:rsidR="00933C0E" w:rsidRPr="009E5860">
        <w:rPr>
          <w:rFonts w:ascii="Calibri" w:hAnsi="Calibri" w:cs="Calibri"/>
          <w:sz w:val="22"/>
          <w:szCs w:val="22"/>
        </w:rPr>
        <w:t>udvikling</w:t>
      </w:r>
      <w:r w:rsidR="00E86AA7" w:rsidRPr="009E5860">
        <w:rPr>
          <w:rFonts w:ascii="Calibri" w:hAnsi="Calibri" w:cs="Calibri"/>
          <w:sz w:val="22"/>
          <w:szCs w:val="22"/>
        </w:rPr>
        <w:t xml:space="preserve"> eller stagnation</w:t>
      </w:r>
      <w:r w:rsidR="00B35670" w:rsidRPr="009E5860">
        <w:rPr>
          <w:rFonts w:ascii="Calibri" w:hAnsi="Calibri" w:cs="Calibri"/>
          <w:sz w:val="22"/>
          <w:szCs w:val="22"/>
        </w:rPr>
        <w:t xml:space="preserve">. </w:t>
      </w:r>
      <w:r w:rsidR="00A6369C">
        <w:rPr>
          <w:rFonts w:ascii="Calibri" w:hAnsi="Calibri" w:cs="Calibri"/>
          <w:sz w:val="22"/>
          <w:szCs w:val="22"/>
        </w:rPr>
        <w:t xml:space="preserve">Sund aldring kan således efter Ældre Sagens opfattelse langt fra </w:t>
      </w:r>
      <w:r w:rsidR="00B35670" w:rsidRPr="009E5860">
        <w:rPr>
          <w:rFonts w:ascii="Calibri" w:hAnsi="Calibri" w:cs="Calibri"/>
          <w:sz w:val="22"/>
          <w:szCs w:val="22"/>
        </w:rPr>
        <w:t>forklare det voldsomme fald i omfanget af hjemmehjælp</w:t>
      </w:r>
      <w:r w:rsidR="001B58B8" w:rsidRPr="009E5860">
        <w:rPr>
          <w:rFonts w:ascii="Calibri" w:hAnsi="Calibri" w:cs="Calibri"/>
          <w:sz w:val="22"/>
          <w:szCs w:val="22"/>
        </w:rPr>
        <w:t>,</w:t>
      </w:r>
      <w:r w:rsidR="00291A44" w:rsidRPr="009E5860">
        <w:rPr>
          <w:rFonts w:ascii="Calibri" w:hAnsi="Calibri" w:cs="Calibri"/>
          <w:sz w:val="22"/>
          <w:szCs w:val="22"/>
        </w:rPr>
        <w:t xml:space="preserve"> der har været</w:t>
      </w:r>
      <w:r w:rsidR="00B35670" w:rsidRPr="009E5860">
        <w:rPr>
          <w:rFonts w:ascii="Calibri" w:hAnsi="Calibri" w:cs="Calibri"/>
          <w:sz w:val="22"/>
          <w:szCs w:val="22"/>
        </w:rPr>
        <w:t xml:space="preserve"> de sidste 10 år.</w:t>
      </w:r>
    </w:p>
    <w:p w14:paraId="632678D8" w14:textId="77777777" w:rsidR="0037210B" w:rsidRPr="009E5860" w:rsidRDefault="0037210B" w:rsidP="0037210B">
      <w:pPr>
        <w:rPr>
          <w:rFonts w:ascii="Calibri" w:hAnsi="Calibri" w:cs="Calibri"/>
          <w:sz w:val="22"/>
          <w:szCs w:val="22"/>
        </w:rPr>
      </w:pPr>
    </w:p>
    <w:p w14:paraId="6008CEC0" w14:textId="3BD32C46" w:rsidR="00E7544B" w:rsidRDefault="007149A6" w:rsidP="00032913">
      <w:pPr>
        <w:rPr>
          <w:rFonts w:ascii="Calibri" w:hAnsi="Calibri" w:cs="Calibri"/>
          <w:sz w:val="22"/>
          <w:szCs w:val="22"/>
        </w:rPr>
      </w:pPr>
      <w:r w:rsidRPr="009E5860">
        <w:rPr>
          <w:rFonts w:ascii="Calibri" w:hAnsi="Calibri" w:cs="Calibri"/>
          <w:sz w:val="22"/>
          <w:szCs w:val="22"/>
        </w:rPr>
        <w:t>Endelig skal det bemærkes, at b</w:t>
      </w:r>
      <w:r w:rsidR="0037210B" w:rsidRPr="009E5860">
        <w:rPr>
          <w:rFonts w:ascii="Calibri" w:hAnsi="Calibri" w:cs="Calibri"/>
          <w:sz w:val="22"/>
          <w:szCs w:val="22"/>
        </w:rPr>
        <w:t xml:space="preserve">eregningerne i notatet er baseret på tal for visiteret hjemmehjælp (antal timer) for 2010 og 2020, som kommunerne har indberettet til Danmarks Statistik (via administrative EOJ-systemer) og efterfølgende godkendt. Eventuelle fejl i indberetningerne i disse år vil resultere i et misvisende billede af den faktiske udvikling i hjemmehjælp i den pågældende kommune. For nogle kommuner svinger tallene fra år til år relativt meget, hvilket kan indikere fejl i indberettede tal eller et skift af leverandør af kommunernes administrative EOJ-systemer. Ældre </w:t>
      </w:r>
      <w:r w:rsidR="0037210B" w:rsidRPr="009E5860">
        <w:rPr>
          <w:rFonts w:ascii="Calibri" w:hAnsi="Calibri" w:cs="Calibri"/>
          <w:sz w:val="22"/>
          <w:szCs w:val="22"/>
        </w:rPr>
        <w:lastRenderedPageBreak/>
        <w:t>Sagen har ikke mulighed for at vurdere, om der er fejl i data og det eventuelle omfang heraf. Derfor indgår alle kommuner, der har indberettet tal i 2010 og 2020.</w:t>
      </w:r>
    </w:p>
    <w:p w14:paraId="2F564A81" w14:textId="77777777" w:rsidR="00DB096E" w:rsidRPr="009E5860" w:rsidRDefault="00DB096E" w:rsidP="00032913">
      <w:pPr>
        <w:rPr>
          <w:rFonts w:ascii="Calibri" w:hAnsi="Calibri" w:cs="Calibri"/>
          <w:sz w:val="22"/>
          <w:szCs w:val="22"/>
        </w:rPr>
      </w:pPr>
    </w:p>
    <w:p w14:paraId="6FB2A0A5" w14:textId="0B873BED" w:rsidR="00361BDC" w:rsidRPr="00A6369C" w:rsidRDefault="00012833" w:rsidP="00012833">
      <w:pPr>
        <w:rPr>
          <w:rFonts w:ascii="Calibri" w:hAnsi="Calibri" w:cs="Calibri"/>
          <w:b/>
          <w:bCs/>
          <w:sz w:val="22"/>
          <w:szCs w:val="22"/>
        </w:rPr>
      </w:pPr>
      <w:r w:rsidRPr="009E5860">
        <w:rPr>
          <w:rFonts w:ascii="Calibri" w:hAnsi="Calibri" w:cs="Calibri"/>
          <w:b/>
          <w:bCs/>
          <w:sz w:val="22"/>
          <w:szCs w:val="22"/>
        </w:rPr>
        <w:t>Selvom udgifterne til ældreområdet er steget de seneste 1</w:t>
      </w:r>
      <w:r w:rsidR="00271967" w:rsidRPr="009E5860">
        <w:rPr>
          <w:rFonts w:ascii="Calibri" w:hAnsi="Calibri" w:cs="Calibri"/>
          <w:b/>
          <w:bCs/>
          <w:sz w:val="22"/>
          <w:szCs w:val="22"/>
        </w:rPr>
        <w:t>1</w:t>
      </w:r>
      <w:r w:rsidRPr="009E5860">
        <w:rPr>
          <w:rFonts w:ascii="Calibri" w:hAnsi="Calibri" w:cs="Calibri"/>
          <w:b/>
          <w:bCs/>
          <w:sz w:val="22"/>
          <w:szCs w:val="22"/>
        </w:rPr>
        <w:t xml:space="preserve"> år, er de langt fra fulgt med den demografiske udvikling. </w:t>
      </w:r>
    </w:p>
    <w:p w14:paraId="49D5FA51" w14:textId="24C3EDD1" w:rsidR="00012833" w:rsidRPr="009E5860" w:rsidRDefault="00012833" w:rsidP="00012833">
      <w:pPr>
        <w:rPr>
          <w:rFonts w:ascii="Calibri" w:hAnsi="Calibri" w:cs="Calibri"/>
          <w:sz w:val="22"/>
          <w:szCs w:val="22"/>
        </w:rPr>
      </w:pPr>
      <w:r w:rsidRPr="009E5860">
        <w:rPr>
          <w:rFonts w:ascii="Calibri" w:hAnsi="Calibri" w:cs="Calibri"/>
          <w:sz w:val="22"/>
          <w:szCs w:val="22"/>
        </w:rPr>
        <w:t xml:space="preserve">De kommunale udgifter til ældreområdet er ikke blevet reduceret i samme omfang som hjemmehjælpen, men har </w:t>
      </w:r>
      <w:r w:rsidR="00DB096E">
        <w:rPr>
          <w:rFonts w:ascii="Calibri" w:hAnsi="Calibri" w:cs="Calibri"/>
          <w:sz w:val="22"/>
          <w:szCs w:val="22"/>
        </w:rPr>
        <w:t xml:space="preserve">stadig </w:t>
      </w:r>
      <w:r w:rsidRPr="009E5860">
        <w:rPr>
          <w:rFonts w:ascii="Calibri" w:hAnsi="Calibri" w:cs="Calibri"/>
          <w:sz w:val="22"/>
          <w:szCs w:val="22"/>
        </w:rPr>
        <w:t xml:space="preserve">ikke kunne følge med den demografiske udvikling. Ifølge Ældre Sagens egne beregninger, skulle ældreudgifterne være steget med </w:t>
      </w:r>
      <w:r w:rsidR="00F95657" w:rsidRPr="009E5860">
        <w:rPr>
          <w:rFonts w:ascii="Calibri" w:hAnsi="Calibri" w:cs="Calibri"/>
          <w:sz w:val="22"/>
          <w:szCs w:val="22"/>
        </w:rPr>
        <w:t>13,2</w:t>
      </w:r>
      <w:r w:rsidR="00EA7F98" w:rsidRPr="009E5860">
        <w:rPr>
          <w:rFonts w:ascii="Calibri" w:hAnsi="Calibri" w:cs="Calibri"/>
          <w:sz w:val="22"/>
          <w:szCs w:val="22"/>
        </w:rPr>
        <w:t xml:space="preserve"> </w:t>
      </w:r>
      <w:r w:rsidRPr="009E5860">
        <w:rPr>
          <w:rFonts w:ascii="Calibri" w:hAnsi="Calibri" w:cs="Calibri"/>
          <w:sz w:val="22"/>
          <w:szCs w:val="22"/>
        </w:rPr>
        <w:t>mia. kr. fra 2010 til 202</w:t>
      </w:r>
      <w:r w:rsidR="00F95657" w:rsidRPr="009E5860">
        <w:rPr>
          <w:rFonts w:ascii="Calibri" w:hAnsi="Calibri" w:cs="Calibri"/>
          <w:sz w:val="22"/>
          <w:szCs w:val="22"/>
        </w:rPr>
        <w:t>1</w:t>
      </w:r>
      <w:r w:rsidRPr="009E5860">
        <w:rPr>
          <w:rFonts w:ascii="Calibri" w:hAnsi="Calibri" w:cs="Calibri"/>
          <w:sz w:val="22"/>
          <w:szCs w:val="22"/>
        </w:rPr>
        <w:t xml:space="preserve"> for at være fulgt med den demografiske udvikling</w:t>
      </w:r>
      <w:r w:rsidR="00EB3C35" w:rsidRPr="009E5860">
        <w:rPr>
          <w:rFonts w:ascii="Calibri" w:hAnsi="Calibri" w:cs="Calibri"/>
          <w:sz w:val="22"/>
          <w:szCs w:val="22"/>
        </w:rPr>
        <w:t>, jf. tabel 1</w:t>
      </w:r>
      <w:r w:rsidRPr="009E5860">
        <w:rPr>
          <w:rFonts w:ascii="Calibri" w:hAnsi="Calibri" w:cs="Calibri"/>
          <w:sz w:val="22"/>
          <w:szCs w:val="22"/>
        </w:rPr>
        <w:t xml:space="preserve">. De samlede udgifter er i denne periode kun steget med </w:t>
      </w:r>
      <w:r w:rsidR="00EA7F98" w:rsidRPr="009E5860">
        <w:rPr>
          <w:rFonts w:ascii="Calibri" w:hAnsi="Calibri" w:cs="Calibri"/>
          <w:sz w:val="22"/>
          <w:szCs w:val="22"/>
        </w:rPr>
        <w:t>4,</w:t>
      </w:r>
      <w:r w:rsidR="00F95657" w:rsidRPr="009E5860">
        <w:rPr>
          <w:rFonts w:ascii="Calibri" w:hAnsi="Calibri" w:cs="Calibri"/>
          <w:sz w:val="22"/>
          <w:szCs w:val="22"/>
        </w:rPr>
        <w:t xml:space="preserve">3 </w:t>
      </w:r>
      <w:r w:rsidR="00DB096E">
        <w:rPr>
          <w:rFonts w:ascii="Calibri" w:hAnsi="Calibri" w:cs="Calibri"/>
          <w:sz w:val="22"/>
          <w:szCs w:val="22"/>
        </w:rPr>
        <w:t>m</w:t>
      </w:r>
      <w:r w:rsidRPr="009E5860">
        <w:rPr>
          <w:rFonts w:ascii="Calibri" w:hAnsi="Calibri" w:cs="Calibri"/>
          <w:sz w:val="22"/>
          <w:szCs w:val="22"/>
        </w:rPr>
        <w:t>ia. kr., hvilket betyder</w:t>
      </w:r>
      <w:r w:rsidR="00DB096E">
        <w:rPr>
          <w:rFonts w:ascii="Calibri" w:hAnsi="Calibri" w:cs="Calibri"/>
          <w:sz w:val="22"/>
          <w:szCs w:val="22"/>
        </w:rPr>
        <w:t>, at der er sket</w:t>
      </w:r>
      <w:r w:rsidRPr="009E5860">
        <w:rPr>
          <w:rFonts w:ascii="Calibri" w:hAnsi="Calibri" w:cs="Calibri"/>
          <w:sz w:val="22"/>
          <w:szCs w:val="22"/>
        </w:rPr>
        <w:t xml:space="preserve"> en udhuling af ældreområdet på</w:t>
      </w:r>
      <w:r w:rsidR="00F95657" w:rsidRPr="009E5860">
        <w:rPr>
          <w:rFonts w:ascii="Calibri" w:hAnsi="Calibri" w:cs="Calibri"/>
          <w:sz w:val="22"/>
          <w:szCs w:val="22"/>
        </w:rPr>
        <w:t xml:space="preserve"> 8,9 </w:t>
      </w:r>
      <w:r w:rsidRPr="009E5860">
        <w:rPr>
          <w:rFonts w:ascii="Calibri" w:hAnsi="Calibri" w:cs="Calibri"/>
          <w:sz w:val="22"/>
          <w:szCs w:val="22"/>
        </w:rPr>
        <w:t>mia. kr. over de seneste 1</w:t>
      </w:r>
      <w:r w:rsidR="00F95657" w:rsidRPr="009E5860">
        <w:rPr>
          <w:rFonts w:ascii="Calibri" w:hAnsi="Calibri" w:cs="Calibri"/>
          <w:sz w:val="22"/>
          <w:szCs w:val="22"/>
        </w:rPr>
        <w:t>1</w:t>
      </w:r>
      <w:r w:rsidRPr="009E5860">
        <w:rPr>
          <w:rFonts w:ascii="Calibri" w:hAnsi="Calibri" w:cs="Calibri"/>
          <w:sz w:val="22"/>
          <w:szCs w:val="22"/>
        </w:rPr>
        <w:t xml:space="preserve"> år.</w:t>
      </w:r>
    </w:p>
    <w:p w14:paraId="665F9EAD" w14:textId="5701A291" w:rsidR="00286161" w:rsidRPr="009E5860" w:rsidRDefault="00286161" w:rsidP="00032913">
      <w:pPr>
        <w:rPr>
          <w:rFonts w:ascii="Calibri" w:hAnsi="Calibri" w:cs="Calibri"/>
          <w:sz w:val="22"/>
          <w:szCs w:val="22"/>
        </w:rPr>
      </w:pPr>
    </w:p>
    <w:p w14:paraId="05954EA6" w14:textId="0E956FAB" w:rsidR="00012833" w:rsidRPr="009E5860" w:rsidRDefault="00012833" w:rsidP="00012833">
      <w:pPr>
        <w:rPr>
          <w:rFonts w:ascii="Calibri" w:hAnsi="Calibri" w:cs="Calibri"/>
          <w:b/>
          <w:bCs/>
          <w:sz w:val="22"/>
          <w:szCs w:val="22"/>
        </w:rPr>
      </w:pPr>
      <w:r w:rsidRPr="009E5860">
        <w:rPr>
          <w:rFonts w:ascii="Calibri" w:hAnsi="Calibri" w:cs="Calibri"/>
          <w:b/>
          <w:bCs/>
          <w:sz w:val="22"/>
          <w:szCs w:val="22"/>
        </w:rPr>
        <w:t xml:space="preserve">Kommunernes budgetter til ældreområdet skal stige med </w:t>
      </w:r>
      <w:r w:rsidR="00EB3C35" w:rsidRPr="009E5860">
        <w:rPr>
          <w:rFonts w:ascii="Calibri" w:hAnsi="Calibri" w:cs="Calibri"/>
          <w:b/>
          <w:bCs/>
          <w:sz w:val="22"/>
          <w:szCs w:val="22"/>
        </w:rPr>
        <w:t xml:space="preserve">1,4 </w:t>
      </w:r>
      <w:r w:rsidRPr="009E5860">
        <w:rPr>
          <w:rFonts w:ascii="Calibri" w:hAnsi="Calibri" w:cs="Calibri"/>
          <w:b/>
          <w:bCs/>
          <w:sz w:val="22"/>
          <w:szCs w:val="22"/>
        </w:rPr>
        <w:t xml:space="preserve">mia. kr. i 2022 alene </w:t>
      </w:r>
      <w:r w:rsidR="00C76EB8" w:rsidRPr="009E5860">
        <w:rPr>
          <w:rFonts w:ascii="Calibri" w:hAnsi="Calibri" w:cs="Calibri"/>
          <w:b/>
          <w:bCs/>
          <w:sz w:val="22"/>
          <w:szCs w:val="22"/>
        </w:rPr>
        <w:t xml:space="preserve">for </w:t>
      </w:r>
      <w:r w:rsidRPr="009E5860">
        <w:rPr>
          <w:rFonts w:ascii="Calibri" w:hAnsi="Calibri" w:cs="Calibri"/>
          <w:b/>
          <w:bCs/>
          <w:sz w:val="22"/>
          <w:szCs w:val="22"/>
        </w:rPr>
        <w:t>at dække den demografiske udvikling.</w:t>
      </w:r>
    </w:p>
    <w:p w14:paraId="4BF6F5B2" w14:textId="1B347AEB" w:rsidR="00012833" w:rsidRPr="009E5860" w:rsidRDefault="00012833" w:rsidP="00012833">
      <w:pPr>
        <w:rPr>
          <w:rFonts w:ascii="Calibri" w:hAnsi="Calibri" w:cs="Calibri"/>
          <w:sz w:val="22"/>
          <w:szCs w:val="22"/>
        </w:rPr>
      </w:pPr>
      <w:r w:rsidRPr="009E5860">
        <w:rPr>
          <w:rFonts w:ascii="Calibri" w:hAnsi="Calibri" w:cs="Calibri"/>
          <w:sz w:val="22"/>
          <w:szCs w:val="22"/>
        </w:rPr>
        <w:t>De kommende år kommer der flere ældre, og det er især antallet af 80+ årige der stiger. Da risikoen for svækkelse og dermed behovet for hjælp stiger med alderen, vil denne udvikling betyde et stigende udgiftsbehov de kommende år. Ifølge Ældre Sagens beregninger, er der behov for en stigning i ældreudgifterne fra 2021 til 2022 på 1,4 mia. kr.  alene for at dække den demografiske udvikling</w:t>
      </w:r>
      <w:r w:rsidR="00271967" w:rsidRPr="009E5860">
        <w:rPr>
          <w:rFonts w:ascii="Calibri" w:hAnsi="Calibri" w:cs="Calibri"/>
          <w:sz w:val="22"/>
          <w:szCs w:val="22"/>
        </w:rPr>
        <w:t>, jf. tabel 2</w:t>
      </w:r>
      <w:r w:rsidRPr="009E5860">
        <w:rPr>
          <w:rFonts w:ascii="Calibri" w:hAnsi="Calibri" w:cs="Calibri"/>
          <w:sz w:val="22"/>
          <w:szCs w:val="22"/>
        </w:rPr>
        <w:t xml:space="preserve">. I 2025 vil der være behov for 6,4 mia. kr. mere end i 2021. </w:t>
      </w:r>
    </w:p>
    <w:p w14:paraId="08028D35" w14:textId="64EFE140" w:rsidR="00144A61" w:rsidRPr="009E5860" w:rsidRDefault="00144A61" w:rsidP="00012833">
      <w:pPr>
        <w:rPr>
          <w:rFonts w:ascii="Calibri" w:hAnsi="Calibri" w:cs="Calibri"/>
          <w:sz w:val="22"/>
          <w:szCs w:val="22"/>
        </w:rPr>
      </w:pPr>
    </w:p>
    <w:p w14:paraId="13DBD32A" w14:textId="2A30204F" w:rsidR="00AA1E3C" w:rsidRPr="009E5860" w:rsidRDefault="00271967" w:rsidP="00012833">
      <w:pPr>
        <w:rPr>
          <w:rFonts w:ascii="Calibri" w:hAnsi="Calibri" w:cs="Calibri"/>
          <w:sz w:val="22"/>
          <w:szCs w:val="22"/>
        </w:rPr>
      </w:pPr>
      <w:r w:rsidRPr="009E5860">
        <w:rPr>
          <w:rFonts w:ascii="Calibri" w:hAnsi="Calibri" w:cs="Calibri"/>
          <w:sz w:val="22"/>
          <w:szCs w:val="22"/>
        </w:rPr>
        <w:t xml:space="preserve">Af tabel 3 fremgår det, </w:t>
      </w:r>
      <w:r w:rsidR="00A357EB" w:rsidRPr="009E5860">
        <w:rPr>
          <w:rFonts w:ascii="Calibri" w:hAnsi="Calibri" w:cs="Calibri"/>
          <w:sz w:val="22"/>
          <w:szCs w:val="22"/>
        </w:rPr>
        <w:t xml:space="preserve">at alle landets 98 kommuner skal </w:t>
      </w:r>
      <w:r w:rsidR="003E78A9" w:rsidRPr="009E5860">
        <w:rPr>
          <w:rFonts w:ascii="Calibri" w:hAnsi="Calibri" w:cs="Calibri"/>
          <w:sz w:val="22"/>
          <w:szCs w:val="22"/>
        </w:rPr>
        <w:t>afsætte ekstra</w:t>
      </w:r>
      <w:r w:rsidRPr="009E5860">
        <w:rPr>
          <w:rFonts w:ascii="Calibri" w:hAnsi="Calibri" w:cs="Calibri"/>
          <w:sz w:val="22"/>
          <w:szCs w:val="22"/>
        </w:rPr>
        <w:t xml:space="preserve"> midler til ældre</w:t>
      </w:r>
      <w:r w:rsidR="00E450CD">
        <w:rPr>
          <w:rFonts w:ascii="Calibri" w:hAnsi="Calibri" w:cs="Calibri"/>
          <w:sz w:val="22"/>
          <w:szCs w:val="22"/>
        </w:rPr>
        <w:t>området</w:t>
      </w:r>
      <w:r w:rsidR="003E78A9" w:rsidRPr="009E5860">
        <w:rPr>
          <w:rFonts w:ascii="Calibri" w:hAnsi="Calibri" w:cs="Calibri"/>
          <w:sz w:val="22"/>
          <w:szCs w:val="22"/>
        </w:rPr>
        <w:t xml:space="preserve"> i 2022</w:t>
      </w:r>
      <w:r w:rsidRPr="009E5860">
        <w:rPr>
          <w:rFonts w:ascii="Calibri" w:hAnsi="Calibri" w:cs="Calibri"/>
          <w:sz w:val="22"/>
          <w:szCs w:val="22"/>
        </w:rPr>
        <w:t xml:space="preserve"> for at dække den demografiske udvikling</w:t>
      </w:r>
      <w:r w:rsidR="003E78A9" w:rsidRPr="009E5860">
        <w:rPr>
          <w:rFonts w:ascii="Calibri" w:hAnsi="Calibri" w:cs="Calibri"/>
          <w:sz w:val="22"/>
          <w:szCs w:val="22"/>
        </w:rPr>
        <w:t xml:space="preserve"> og fastholde udgiftsniveauet pr. ældre </w:t>
      </w:r>
      <w:r w:rsidR="00DB096E">
        <w:rPr>
          <w:rFonts w:ascii="Calibri" w:hAnsi="Calibri" w:cs="Calibri"/>
          <w:sz w:val="22"/>
          <w:szCs w:val="22"/>
        </w:rPr>
        <w:t>for</w:t>
      </w:r>
      <w:r w:rsidR="003E78A9" w:rsidRPr="009E5860">
        <w:rPr>
          <w:rFonts w:ascii="Calibri" w:hAnsi="Calibri" w:cs="Calibri"/>
          <w:sz w:val="22"/>
          <w:szCs w:val="22"/>
        </w:rPr>
        <w:t xml:space="preserve"> 2021</w:t>
      </w:r>
      <w:r w:rsidRPr="009E5860">
        <w:rPr>
          <w:rFonts w:ascii="Calibri" w:hAnsi="Calibri" w:cs="Calibri"/>
          <w:sz w:val="22"/>
          <w:szCs w:val="22"/>
        </w:rPr>
        <w:t>.</w:t>
      </w:r>
      <w:r w:rsidR="00AF6AD2">
        <w:rPr>
          <w:rFonts w:ascii="Calibri" w:hAnsi="Calibri" w:cs="Calibri"/>
          <w:sz w:val="22"/>
          <w:szCs w:val="22"/>
        </w:rPr>
        <w:t xml:space="preserve"> Igen skal det bemærkes, at dette blot er for at fastholde </w:t>
      </w:r>
      <w:r w:rsidR="00A6369C">
        <w:rPr>
          <w:rFonts w:ascii="Calibri" w:hAnsi="Calibri" w:cs="Calibri"/>
          <w:sz w:val="22"/>
          <w:szCs w:val="22"/>
        </w:rPr>
        <w:t xml:space="preserve">det nuværende </w:t>
      </w:r>
      <w:r w:rsidR="00AF6AD2">
        <w:rPr>
          <w:rFonts w:ascii="Calibri" w:hAnsi="Calibri" w:cs="Calibri"/>
          <w:sz w:val="22"/>
          <w:szCs w:val="22"/>
        </w:rPr>
        <w:t>niveau.</w:t>
      </w:r>
      <w:r w:rsidR="00A6369C">
        <w:rPr>
          <w:rFonts w:ascii="Calibri" w:hAnsi="Calibri" w:cs="Calibri"/>
          <w:sz w:val="22"/>
          <w:szCs w:val="22"/>
        </w:rPr>
        <w:t xml:space="preserve"> Det kan ikke rette op på den udhuling </w:t>
      </w:r>
      <w:r w:rsidR="00AF6AD2">
        <w:rPr>
          <w:rFonts w:ascii="Calibri" w:hAnsi="Calibri" w:cs="Calibri"/>
          <w:sz w:val="22"/>
          <w:szCs w:val="22"/>
        </w:rPr>
        <w:t>der er sket det seneste årti.</w:t>
      </w:r>
    </w:p>
    <w:p w14:paraId="7BADB568" w14:textId="1655ADAD" w:rsidR="00012833" w:rsidRPr="009E5860" w:rsidRDefault="00012833" w:rsidP="00032913">
      <w:pPr>
        <w:rPr>
          <w:rFonts w:ascii="Calibri" w:hAnsi="Calibri" w:cs="Calibri"/>
          <w:b/>
          <w:bCs/>
          <w:sz w:val="22"/>
          <w:szCs w:val="22"/>
        </w:rPr>
      </w:pPr>
    </w:p>
    <w:tbl>
      <w:tblPr>
        <w:tblStyle w:val="Tabel-Gitter"/>
        <w:tblW w:w="0" w:type="auto"/>
        <w:tblLook w:val="04A0" w:firstRow="1" w:lastRow="0" w:firstColumn="1" w:lastColumn="0" w:noHBand="0" w:noVBand="1"/>
      </w:tblPr>
      <w:tblGrid>
        <w:gridCol w:w="8886"/>
      </w:tblGrid>
      <w:tr w:rsidR="00012833" w:rsidRPr="009E5860" w14:paraId="26DB1688" w14:textId="77777777" w:rsidTr="00012833">
        <w:tc>
          <w:tcPr>
            <w:tcW w:w="8886" w:type="dxa"/>
            <w:shd w:val="clear" w:color="auto" w:fill="BFBFBF" w:themeFill="background1" w:themeFillShade="BF"/>
          </w:tcPr>
          <w:p w14:paraId="27BCA8A7" w14:textId="77777777" w:rsidR="00012833" w:rsidRPr="009E5860" w:rsidRDefault="00012833" w:rsidP="00012833">
            <w:pPr>
              <w:rPr>
                <w:rFonts w:ascii="Calibri" w:hAnsi="Calibri" w:cs="Calibri"/>
                <w:b/>
                <w:bCs/>
                <w:sz w:val="22"/>
                <w:szCs w:val="22"/>
              </w:rPr>
            </w:pPr>
            <w:r w:rsidRPr="009E5860">
              <w:rPr>
                <w:rFonts w:ascii="Calibri" w:hAnsi="Calibri" w:cs="Calibri"/>
                <w:b/>
                <w:bCs/>
                <w:sz w:val="22"/>
                <w:szCs w:val="22"/>
              </w:rPr>
              <w:t>Kort om Ældre Sagens beregning</w:t>
            </w:r>
          </w:p>
          <w:p w14:paraId="0B9EE12B" w14:textId="06005DB3" w:rsidR="00012833" w:rsidRPr="009E5860" w:rsidRDefault="00012833" w:rsidP="00012833">
            <w:pPr>
              <w:rPr>
                <w:rFonts w:ascii="Calibri" w:hAnsi="Calibri" w:cs="Calibri"/>
                <w:sz w:val="22"/>
                <w:szCs w:val="22"/>
              </w:rPr>
            </w:pPr>
            <w:r w:rsidRPr="009E5860">
              <w:rPr>
                <w:rFonts w:ascii="Calibri" w:hAnsi="Calibri" w:cs="Calibri"/>
                <w:sz w:val="22"/>
                <w:szCs w:val="22"/>
              </w:rPr>
              <w:t>Vores beregning tager udgangspunkt i estimerede gennemsnitlige enhedsudgifter pr. ældre. Enhedsudgifterne estimeres ud fra de samlede kommunale ældreudgifter og antallet af 6</w:t>
            </w:r>
            <w:r w:rsidR="00C83FC4" w:rsidRPr="009E5860">
              <w:rPr>
                <w:rFonts w:ascii="Calibri" w:hAnsi="Calibri" w:cs="Calibri"/>
                <w:sz w:val="22"/>
                <w:szCs w:val="22"/>
              </w:rPr>
              <w:t>7</w:t>
            </w:r>
            <w:r w:rsidRPr="009E5860">
              <w:rPr>
                <w:rFonts w:ascii="Calibri" w:hAnsi="Calibri" w:cs="Calibri"/>
                <w:sz w:val="22"/>
                <w:szCs w:val="22"/>
              </w:rPr>
              <w:t>+ årige. Da risikoen for svækkelse og dermed behovet for hjælp fra kommunen stiger med alderen, er der foretaget en vægtning af de 6</w:t>
            </w:r>
            <w:r w:rsidR="00C83FC4" w:rsidRPr="009E5860">
              <w:rPr>
                <w:rFonts w:ascii="Calibri" w:hAnsi="Calibri" w:cs="Calibri"/>
                <w:sz w:val="22"/>
                <w:szCs w:val="22"/>
              </w:rPr>
              <w:t>7</w:t>
            </w:r>
            <w:r w:rsidRPr="009E5860">
              <w:rPr>
                <w:rFonts w:ascii="Calibri" w:hAnsi="Calibri" w:cs="Calibri"/>
                <w:sz w:val="22"/>
                <w:szCs w:val="22"/>
              </w:rPr>
              <w:t>+årige i forhold til alder. Således vægter en 75-årig eksempelvis dobbelt så højt som en 67-årig i udgiftsberegningen, mens vægten for en 85-årig svare til 8 gange en 67-årig.</w:t>
            </w:r>
          </w:p>
          <w:p w14:paraId="6930E192" w14:textId="3BC584CE" w:rsidR="00012833" w:rsidRDefault="00012833" w:rsidP="00012833">
            <w:pPr>
              <w:rPr>
                <w:rFonts w:ascii="Calibri" w:hAnsi="Calibri" w:cs="Calibri"/>
                <w:sz w:val="22"/>
                <w:szCs w:val="22"/>
              </w:rPr>
            </w:pPr>
          </w:p>
          <w:p w14:paraId="31B37B79" w14:textId="7310AB6A" w:rsidR="006D5F89" w:rsidRPr="006D5F89" w:rsidRDefault="00351F15" w:rsidP="006D5F89">
            <w:pPr>
              <w:rPr>
                <w:rFonts w:ascii="Calibri" w:hAnsi="Calibri" w:cs="Calibri"/>
                <w:sz w:val="22"/>
                <w:szCs w:val="22"/>
              </w:rPr>
            </w:pPr>
            <w:r>
              <w:rPr>
                <w:rFonts w:ascii="Calibri" w:hAnsi="Calibri" w:cs="Calibri"/>
                <w:sz w:val="22"/>
                <w:szCs w:val="22"/>
              </w:rPr>
              <w:t>Vægtene</w:t>
            </w:r>
            <w:r w:rsidR="006D5F89" w:rsidRPr="006D5F89">
              <w:rPr>
                <w:rFonts w:ascii="Calibri" w:hAnsi="Calibri" w:cs="Calibri"/>
                <w:sz w:val="22"/>
                <w:szCs w:val="22"/>
              </w:rPr>
              <w:t xml:space="preserve"> for de enkelte aldersgruppers udgiftsbehov </w:t>
            </w:r>
            <w:r w:rsidR="00640E38">
              <w:rPr>
                <w:rFonts w:ascii="Calibri" w:hAnsi="Calibri" w:cs="Calibri"/>
                <w:sz w:val="22"/>
                <w:szCs w:val="22"/>
              </w:rPr>
              <w:t xml:space="preserve">er konstrueret ud fra nogle enhedsudgifter, der </w:t>
            </w:r>
            <w:r w:rsidR="006D5F89" w:rsidRPr="006D5F89">
              <w:rPr>
                <w:rFonts w:ascii="Calibri" w:hAnsi="Calibri" w:cs="Calibri"/>
                <w:sz w:val="22"/>
                <w:szCs w:val="22"/>
              </w:rPr>
              <w:t>stammer fra en endnu ikke offentliggjort ekstern konsulentrapport, som udarbejdes på vegne af Ældre Sagen (forventes offentliggjort i efteråret 2021)</w:t>
            </w:r>
          </w:p>
          <w:p w14:paraId="2DDCA245" w14:textId="77777777" w:rsidR="00012833" w:rsidRPr="009E5860" w:rsidRDefault="00012833" w:rsidP="00012833">
            <w:pPr>
              <w:rPr>
                <w:rFonts w:ascii="Calibri" w:hAnsi="Calibri" w:cs="Calibri"/>
                <w:sz w:val="22"/>
                <w:szCs w:val="22"/>
              </w:rPr>
            </w:pPr>
          </w:p>
          <w:p w14:paraId="391CF476" w14:textId="58D8CE9C" w:rsidR="00012833" w:rsidRPr="009E5860" w:rsidRDefault="00012833" w:rsidP="00032913">
            <w:pPr>
              <w:rPr>
                <w:rFonts w:ascii="Calibri" w:hAnsi="Calibri" w:cs="Calibri"/>
                <w:sz w:val="22"/>
                <w:szCs w:val="22"/>
              </w:rPr>
            </w:pPr>
            <w:r w:rsidRPr="009E5860">
              <w:rPr>
                <w:rFonts w:ascii="Calibri" w:hAnsi="Calibri" w:cs="Calibri"/>
                <w:sz w:val="22"/>
                <w:szCs w:val="22"/>
              </w:rPr>
              <w:t>Yderligere uddybning og dokumentation af metode og beregningsgrundlag findes i bilaget</w:t>
            </w:r>
            <w:r w:rsidR="00BC6D41">
              <w:rPr>
                <w:rFonts w:ascii="Calibri" w:hAnsi="Calibri" w:cs="Calibri"/>
                <w:sz w:val="22"/>
                <w:szCs w:val="22"/>
              </w:rPr>
              <w:t>.</w:t>
            </w:r>
          </w:p>
        </w:tc>
      </w:tr>
    </w:tbl>
    <w:p w14:paraId="6FF48336" w14:textId="77777777" w:rsidR="00012833" w:rsidRPr="009E5860" w:rsidRDefault="00012833" w:rsidP="00032913">
      <w:pPr>
        <w:rPr>
          <w:rFonts w:ascii="Calibri" w:hAnsi="Calibri" w:cs="Calibri"/>
          <w:sz w:val="22"/>
          <w:szCs w:val="22"/>
        </w:rPr>
      </w:pPr>
    </w:p>
    <w:p w14:paraId="1815AEF4" w14:textId="12E58B21" w:rsidR="00012833" w:rsidRPr="009E5860" w:rsidRDefault="00012833" w:rsidP="00032913">
      <w:pPr>
        <w:rPr>
          <w:rFonts w:ascii="Calibri" w:hAnsi="Calibri" w:cs="Calibri"/>
          <w:sz w:val="22"/>
          <w:szCs w:val="22"/>
        </w:rPr>
      </w:pPr>
    </w:p>
    <w:p w14:paraId="61CE2BD9" w14:textId="3DEAF26C" w:rsidR="00AA1E3C" w:rsidRDefault="00AA1E3C" w:rsidP="009B5B69">
      <w:pPr>
        <w:rPr>
          <w:rFonts w:ascii="Calibri" w:hAnsi="Calibri" w:cs="Calibri"/>
          <w:color w:val="333333"/>
        </w:rPr>
      </w:pPr>
    </w:p>
    <w:p w14:paraId="64E4C000" w14:textId="36A6A754" w:rsidR="00765DB7" w:rsidRDefault="00765DB7" w:rsidP="009B5B69">
      <w:pPr>
        <w:rPr>
          <w:rFonts w:ascii="Calibri" w:hAnsi="Calibri" w:cs="Calibri"/>
          <w:color w:val="333333"/>
          <w:sz w:val="22"/>
          <w:szCs w:val="22"/>
        </w:rPr>
      </w:pPr>
    </w:p>
    <w:p w14:paraId="326E0780" w14:textId="42228601" w:rsidR="00765DB7" w:rsidRDefault="00765DB7" w:rsidP="009B5B69">
      <w:pPr>
        <w:rPr>
          <w:rFonts w:ascii="Calibri" w:hAnsi="Calibri" w:cs="Calibri"/>
          <w:color w:val="333333"/>
          <w:sz w:val="22"/>
          <w:szCs w:val="22"/>
        </w:rPr>
      </w:pPr>
    </w:p>
    <w:p w14:paraId="5D9B5035" w14:textId="77777777" w:rsidR="00765DB7" w:rsidRPr="00A710CE" w:rsidRDefault="00765DB7" w:rsidP="009B5B69">
      <w:pPr>
        <w:rPr>
          <w:rFonts w:ascii="Calibri" w:hAnsi="Calibri" w:cs="Calibri"/>
          <w:color w:val="333333"/>
          <w:sz w:val="22"/>
          <w:szCs w:val="22"/>
        </w:rPr>
      </w:pPr>
    </w:p>
    <w:p w14:paraId="20CC0AC0" w14:textId="77777777" w:rsidR="009B5B69" w:rsidRPr="00A710CE" w:rsidRDefault="009B5B69" w:rsidP="009B5B69">
      <w:pPr>
        <w:rPr>
          <w:rFonts w:ascii="Calibri" w:hAnsi="Calibri" w:cs="Calibri"/>
          <w:b/>
          <w:bCs/>
          <w:color w:val="333333"/>
          <w:sz w:val="22"/>
          <w:szCs w:val="22"/>
        </w:rPr>
      </w:pPr>
      <w:r w:rsidRPr="00A710CE">
        <w:rPr>
          <w:rFonts w:ascii="Calibri" w:hAnsi="Calibri" w:cs="Calibri"/>
          <w:b/>
          <w:bCs/>
          <w:color w:val="333333"/>
          <w:sz w:val="22"/>
          <w:szCs w:val="22"/>
        </w:rPr>
        <w:t>Figur 1. Manko i antal visiterede hjemmehjælpstimer pr. år (ift. 2010-niveau)</w:t>
      </w:r>
    </w:p>
    <w:p w14:paraId="4EC53CB8" w14:textId="77777777" w:rsidR="009B5B69" w:rsidRPr="00A710CE" w:rsidRDefault="009B5B69" w:rsidP="009B5B69">
      <w:pPr>
        <w:rPr>
          <w:rFonts w:ascii="Calibri" w:hAnsi="Calibri" w:cs="Calibri"/>
          <w:color w:val="333333"/>
        </w:rPr>
      </w:pPr>
      <w:r w:rsidRPr="00A710CE">
        <w:rPr>
          <w:rFonts w:ascii="Calibri" w:hAnsi="Calibri" w:cs="Calibri"/>
          <w:noProof/>
        </w:rPr>
        <w:drawing>
          <wp:inline distT="0" distB="0" distL="0" distR="0" wp14:anchorId="1AE13FCB" wp14:editId="4E591388">
            <wp:extent cx="5715000" cy="3733800"/>
            <wp:effectExtent l="0" t="0" r="0" b="0"/>
            <wp:docPr id="3" name="Diagram 3">
              <a:extLst xmlns:a="http://schemas.openxmlformats.org/drawingml/2006/main">
                <a:ext uri="{FF2B5EF4-FFF2-40B4-BE49-F238E27FC236}">
                  <a16:creationId xmlns:a16="http://schemas.microsoft.com/office/drawing/2014/main" id="{8034101D-1D41-4EEA-994D-6AA4A8E8DE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B737EE" w14:textId="77777777" w:rsidR="009B5B69" w:rsidRPr="00A710CE" w:rsidRDefault="009B5B69" w:rsidP="009B5B69">
      <w:pPr>
        <w:rPr>
          <w:rFonts w:ascii="Calibri" w:hAnsi="Calibri" w:cs="Calibri"/>
          <w:szCs w:val="20"/>
        </w:rPr>
      </w:pPr>
      <w:r w:rsidRPr="00A710CE">
        <w:rPr>
          <w:rFonts w:ascii="Calibri" w:hAnsi="Calibri" w:cs="Calibri"/>
          <w:szCs w:val="20"/>
        </w:rPr>
        <w:t>Kilde: Danmarks Statistik og egne beregninger</w:t>
      </w:r>
    </w:p>
    <w:p w14:paraId="32E9A48A" w14:textId="77777777" w:rsidR="009B5B69" w:rsidRPr="00A710CE" w:rsidRDefault="009B5B69" w:rsidP="009B5B69">
      <w:pPr>
        <w:rPr>
          <w:rFonts w:ascii="Calibri" w:hAnsi="Calibri" w:cs="Calibri"/>
          <w:color w:val="333333"/>
          <w:szCs w:val="20"/>
        </w:rPr>
      </w:pPr>
      <w:proofErr w:type="spellStart"/>
      <w:r w:rsidRPr="00A710CE">
        <w:rPr>
          <w:rFonts w:ascii="Calibri" w:hAnsi="Calibri" w:cs="Calibri"/>
          <w:szCs w:val="20"/>
        </w:rPr>
        <w:t>Anm</w:t>
      </w:r>
      <w:proofErr w:type="spellEnd"/>
      <w:r w:rsidRPr="00A710CE">
        <w:rPr>
          <w:rFonts w:ascii="Calibri" w:hAnsi="Calibri" w:cs="Calibri"/>
          <w:szCs w:val="20"/>
        </w:rPr>
        <w:t>.: Den sorte graf repræsenterer den faktiske udvikling i det gennemsnitlige antal visiterede hjemmehjælpstimer i eget hjem. Den grå graf repræsenterer, hvordan udviklingen ville have været, hvis niveauet af hjemmehjælpstimer fra 2010 var blevet fastholdt. Først er det gennemsnitlige antal visiterede hjemmehjælpstimer i 2010 fordelt på 5-års aldersgrupper fundet. Herefter er udviklingen udregnet ved at fastholde 2010-niveauet for hver af de respektive aldersgrupper.</w:t>
      </w:r>
    </w:p>
    <w:p w14:paraId="485A1E5F" w14:textId="77777777" w:rsidR="009B5B69" w:rsidRPr="00A710CE" w:rsidRDefault="009B5B69" w:rsidP="009B5B69">
      <w:pPr>
        <w:rPr>
          <w:rFonts w:ascii="Calibri" w:hAnsi="Calibri" w:cs="Calibri"/>
          <w:color w:val="333333"/>
        </w:rPr>
      </w:pPr>
    </w:p>
    <w:p w14:paraId="2FCF94E1" w14:textId="09C4A4B3" w:rsidR="009B5B69" w:rsidRPr="00A710CE" w:rsidRDefault="009B5B69" w:rsidP="009B5B69">
      <w:pPr>
        <w:rPr>
          <w:rFonts w:ascii="Calibri" w:hAnsi="Calibri" w:cs="Calibri"/>
          <w:color w:val="333333"/>
        </w:rPr>
      </w:pPr>
    </w:p>
    <w:p w14:paraId="57EF2C7C" w14:textId="0D8A7980" w:rsidR="005F5BAB" w:rsidRPr="00A710CE" w:rsidRDefault="005F5BAB" w:rsidP="009B5B69">
      <w:pPr>
        <w:rPr>
          <w:rFonts w:ascii="Calibri" w:hAnsi="Calibri" w:cs="Calibri"/>
          <w:color w:val="333333"/>
        </w:rPr>
      </w:pPr>
    </w:p>
    <w:p w14:paraId="1463DEEC" w14:textId="566BB8C8" w:rsidR="005F5BAB" w:rsidRPr="00A710CE" w:rsidRDefault="005F5BAB" w:rsidP="009B5B69">
      <w:pPr>
        <w:rPr>
          <w:rFonts w:ascii="Calibri" w:hAnsi="Calibri" w:cs="Calibri"/>
          <w:color w:val="333333"/>
        </w:rPr>
      </w:pPr>
    </w:p>
    <w:p w14:paraId="7D9CC192" w14:textId="01BAF3FB" w:rsidR="005F5BAB" w:rsidRPr="00A710CE" w:rsidRDefault="005F5BAB" w:rsidP="009B5B69">
      <w:pPr>
        <w:rPr>
          <w:rFonts w:ascii="Calibri" w:hAnsi="Calibri" w:cs="Calibri"/>
          <w:color w:val="333333"/>
        </w:rPr>
      </w:pPr>
    </w:p>
    <w:p w14:paraId="7C2E940F" w14:textId="21F30647" w:rsidR="005F5BAB" w:rsidRPr="00A710CE" w:rsidRDefault="005F5BAB" w:rsidP="009B5B69">
      <w:pPr>
        <w:rPr>
          <w:rFonts w:ascii="Calibri" w:hAnsi="Calibri" w:cs="Calibri"/>
          <w:color w:val="333333"/>
        </w:rPr>
      </w:pPr>
    </w:p>
    <w:p w14:paraId="0344A1E5" w14:textId="276E7152" w:rsidR="005F5BAB" w:rsidRPr="00A710CE" w:rsidRDefault="005F5BAB" w:rsidP="009B5B69">
      <w:pPr>
        <w:rPr>
          <w:rFonts w:ascii="Calibri" w:hAnsi="Calibri" w:cs="Calibri"/>
          <w:color w:val="333333"/>
        </w:rPr>
      </w:pPr>
    </w:p>
    <w:p w14:paraId="52FE2131" w14:textId="7A4C3CCC" w:rsidR="00144A61" w:rsidRPr="00A710CE" w:rsidRDefault="00144A61" w:rsidP="009B5B69">
      <w:pPr>
        <w:rPr>
          <w:rFonts w:ascii="Calibri" w:hAnsi="Calibri" w:cs="Calibri"/>
          <w:color w:val="333333"/>
        </w:rPr>
      </w:pPr>
    </w:p>
    <w:p w14:paraId="59C562CE" w14:textId="046C6D0E" w:rsidR="00144A61" w:rsidRPr="00A710CE" w:rsidRDefault="00144A61" w:rsidP="009B5B69">
      <w:pPr>
        <w:rPr>
          <w:rFonts w:ascii="Calibri" w:hAnsi="Calibri" w:cs="Calibri"/>
          <w:color w:val="333333"/>
        </w:rPr>
      </w:pPr>
    </w:p>
    <w:p w14:paraId="4EA05AFF" w14:textId="78CFC937" w:rsidR="00144A61" w:rsidRPr="00A710CE" w:rsidRDefault="00144A61" w:rsidP="009B5B69">
      <w:pPr>
        <w:rPr>
          <w:rFonts w:ascii="Calibri" w:hAnsi="Calibri" w:cs="Calibri"/>
          <w:color w:val="333333"/>
        </w:rPr>
      </w:pPr>
    </w:p>
    <w:p w14:paraId="5667485A" w14:textId="534F8AD2" w:rsidR="00144A61" w:rsidRPr="00A710CE" w:rsidRDefault="00144A61" w:rsidP="009B5B69">
      <w:pPr>
        <w:rPr>
          <w:rFonts w:ascii="Calibri" w:hAnsi="Calibri" w:cs="Calibri"/>
          <w:color w:val="333333"/>
        </w:rPr>
      </w:pPr>
    </w:p>
    <w:p w14:paraId="2D8D8A3C" w14:textId="29FCE183" w:rsidR="00144A61" w:rsidRPr="00A710CE" w:rsidRDefault="00144A61" w:rsidP="009B5B69">
      <w:pPr>
        <w:rPr>
          <w:rFonts w:ascii="Calibri" w:hAnsi="Calibri" w:cs="Calibri"/>
          <w:color w:val="333333"/>
        </w:rPr>
      </w:pPr>
    </w:p>
    <w:p w14:paraId="65641D87" w14:textId="4CCDB40F" w:rsidR="00144A61" w:rsidRPr="00A710CE" w:rsidRDefault="00144A61" w:rsidP="009B5B69">
      <w:pPr>
        <w:rPr>
          <w:rFonts w:ascii="Calibri" w:hAnsi="Calibri" w:cs="Calibri"/>
          <w:color w:val="333333"/>
        </w:rPr>
      </w:pPr>
    </w:p>
    <w:p w14:paraId="56D1EEDE" w14:textId="77777777" w:rsidR="00506B72" w:rsidRPr="00A710CE" w:rsidRDefault="00506B72" w:rsidP="009B5B69">
      <w:pPr>
        <w:rPr>
          <w:rFonts w:ascii="Calibri" w:hAnsi="Calibri" w:cs="Calibri"/>
          <w:color w:val="333333"/>
        </w:rPr>
      </w:pPr>
    </w:p>
    <w:p w14:paraId="0777B649" w14:textId="77777777" w:rsidR="005F5BAB" w:rsidRPr="00A710CE" w:rsidRDefault="005F5BAB" w:rsidP="009B5B69">
      <w:pPr>
        <w:rPr>
          <w:rFonts w:ascii="Calibri" w:hAnsi="Calibri" w:cs="Calibri"/>
          <w:color w:val="333333"/>
        </w:rPr>
      </w:pPr>
    </w:p>
    <w:p w14:paraId="498F55F4" w14:textId="77777777" w:rsidR="009B5B69" w:rsidRPr="002E1D48" w:rsidRDefault="009B5B69" w:rsidP="009B5B69">
      <w:pPr>
        <w:rPr>
          <w:rFonts w:ascii="Calibri" w:hAnsi="Calibri" w:cs="Calibri"/>
          <w:color w:val="333333"/>
          <w:sz w:val="22"/>
          <w:szCs w:val="22"/>
        </w:rPr>
      </w:pPr>
    </w:p>
    <w:p w14:paraId="4D6353CF" w14:textId="77777777" w:rsidR="009B5B69" w:rsidRPr="002E1D48" w:rsidRDefault="009B5B69" w:rsidP="009B5B69">
      <w:pPr>
        <w:rPr>
          <w:rFonts w:ascii="Calibri" w:hAnsi="Calibri" w:cs="Calibri"/>
          <w:b/>
          <w:bCs/>
          <w:color w:val="333333"/>
          <w:sz w:val="22"/>
          <w:szCs w:val="22"/>
        </w:rPr>
      </w:pPr>
      <w:r w:rsidRPr="002E1D48">
        <w:rPr>
          <w:rFonts w:ascii="Calibri" w:hAnsi="Calibri" w:cs="Calibri"/>
          <w:b/>
          <w:bCs/>
          <w:color w:val="333333"/>
          <w:sz w:val="22"/>
          <w:szCs w:val="22"/>
        </w:rPr>
        <w:lastRenderedPageBreak/>
        <w:t>Kort 1: Procentvis ændring i det gennemsnitlige antal visiterede hjemmehjælpstimer pr. 65+årig i eget hjem, 2010-2020</w:t>
      </w:r>
    </w:p>
    <w:p w14:paraId="19E53F77" w14:textId="4455E453" w:rsidR="00974AB4" w:rsidRPr="00A710CE" w:rsidRDefault="004E2200" w:rsidP="009B5B69">
      <w:pPr>
        <w:rPr>
          <w:rFonts w:ascii="Calibri" w:hAnsi="Calibri" w:cs="Calibri"/>
          <w:color w:val="333333"/>
        </w:rPr>
      </w:pPr>
      <w:r w:rsidRPr="00A710CE">
        <w:rPr>
          <w:rFonts w:ascii="Calibri" w:hAnsi="Calibri" w:cs="Calibri"/>
          <w:noProof/>
        </w:rPr>
        <w:drawing>
          <wp:inline distT="0" distB="0" distL="0" distR="0" wp14:anchorId="3F49BF43" wp14:editId="22636BA6">
            <wp:extent cx="3269183" cy="7383780"/>
            <wp:effectExtent l="0" t="0" r="7620" b="762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9824" cy="7407813"/>
                    </a:xfrm>
                    <a:prstGeom prst="rect">
                      <a:avLst/>
                    </a:prstGeom>
                    <a:noFill/>
                    <a:ln>
                      <a:noFill/>
                    </a:ln>
                  </pic:spPr>
                </pic:pic>
              </a:graphicData>
            </a:graphic>
          </wp:inline>
        </w:drawing>
      </w:r>
    </w:p>
    <w:p w14:paraId="0AC07A65" w14:textId="77777777" w:rsidR="00974AB4" w:rsidRPr="00A710CE" w:rsidRDefault="00974AB4" w:rsidP="00974AB4">
      <w:pPr>
        <w:rPr>
          <w:rFonts w:ascii="Calibri" w:hAnsi="Calibri" w:cs="Calibri"/>
          <w:color w:val="333333"/>
        </w:rPr>
      </w:pPr>
    </w:p>
    <w:p w14:paraId="28B125E1" w14:textId="77777777" w:rsidR="00974AB4" w:rsidRPr="00A710CE" w:rsidRDefault="00974AB4" w:rsidP="00974AB4">
      <w:pPr>
        <w:rPr>
          <w:rFonts w:ascii="Calibri" w:hAnsi="Calibri" w:cs="Calibri"/>
          <w:b/>
          <w:bCs/>
          <w:color w:val="333333"/>
        </w:rPr>
      </w:pPr>
    </w:p>
    <w:p w14:paraId="38E9D13C" w14:textId="7CB01AF3" w:rsidR="00974AB4" w:rsidRPr="00A710CE" w:rsidRDefault="00974AB4" w:rsidP="00974AB4">
      <w:pPr>
        <w:rPr>
          <w:rFonts w:ascii="Calibri" w:hAnsi="Calibri" w:cs="Calibri"/>
          <w:b/>
          <w:bCs/>
          <w:color w:val="333333"/>
        </w:rPr>
      </w:pPr>
    </w:p>
    <w:p w14:paraId="0B06D7B0" w14:textId="208D34B6" w:rsidR="004E2200" w:rsidRPr="00A710CE" w:rsidRDefault="004E2200" w:rsidP="00974AB4">
      <w:pPr>
        <w:rPr>
          <w:rFonts w:ascii="Calibri" w:hAnsi="Calibri" w:cs="Calibri"/>
          <w:b/>
          <w:bCs/>
          <w:color w:val="333333"/>
        </w:rPr>
      </w:pPr>
    </w:p>
    <w:p w14:paraId="31F255AE" w14:textId="77777777" w:rsidR="004E2200" w:rsidRPr="00A710CE" w:rsidRDefault="004E2200" w:rsidP="00974AB4">
      <w:pPr>
        <w:rPr>
          <w:rFonts w:ascii="Calibri" w:hAnsi="Calibri" w:cs="Calibri"/>
          <w:b/>
          <w:bCs/>
          <w:color w:val="333333"/>
        </w:rPr>
      </w:pPr>
    </w:p>
    <w:p w14:paraId="15243715" w14:textId="2F06F4CB" w:rsidR="00974AB4" w:rsidRPr="002E1D48" w:rsidRDefault="00974AB4" w:rsidP="00974AB4">
      <w:pPr>
        <w:rPr>
          <w:rFonts w:ascii="Calibri" w:hAnsi="Calibri" w:cs="Calibri"/>
          <w:b/>
          <w:bCs/>
          <w:color w:val="333333"/>
          <w:sz w:val="22"/>
          <w:szCs w:val="22"/>
        </w:rPr>
      </w:pPr>
      <w:r w:rsidRPr="002E1D48">
        <w:rPr>
          <w:rFonts w:ascii="Calibri" w:hAnsi="Calibri" w:cs="Calibri"/>
          <w:b/>
          <w:bCs/>
          <w:color w:val="333333"/>
          <w:sz w:val="22"/>
          <w:szCs w:val="22"/>
        </w:rPr>
        <w:t>Kort 2: Procentvis ændring i det gennemsnitlige antal visiterede hjemmehjælpstimer pr. 80+årig i eget hjem, 2010-2020</w:t>
      </w:r>
    </w:p>
    <w:p w14:paraId="3093FE0B" w14:textId="3C15B2FB" w:rsidR="006023F5" w:rsidRPr="00A710CE" w:rsidRDefault="004E2200" w:rsidP="009B5B69">
      <w:pPr>
        <w:rPr>
          <w:rFonts w:ascii="Calibri" w:hAnsi="Calibri" w:cs="Calibri"/>
          <w:color w:val="333333"/>
        </w:rPr>
      </w:pPr>
      <w:r w:rsidRPr="00A710CE">
        <w:rPr>
          <w:rFonts w:ascii="Calibri" w:hAnsi="Calibri" w:cs="Calibri"/>
          <w:noProof/>
        </w:rPr>
        <w:drawing>
          <wp:inline distT="0" distB="0" distL="0" distR="0" wp14:anchorId="0139E8AC" wp14:editId="1DC05EAE">
            <wp:extent cx="3063384" cy="6918960"/>
            <wp:effectExtent l="0" t="0" r="381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1981" cy="6938378"/>
                    </a:xfrm>
                    <a:prstGeom prst="rect">
                      <a:avLst/>
                    </a:prstGeom>
                    <a:noFill/>
                    <a:ln>
                      <a:noFill/>
                    </a:ln>
                  </pic:spPr>
                </pic:pic>
              </a:graphicData>
            </a:graphic>
          </wp:inline>
        </w:drawing>
      </w:r>
      <w:r w:rsidR="009B5B69" w:rsidRPr="00A710CE">
        <w:rPr>
          <w:rFonts w:ascii="Calibri" w:hAnsi="Calibri" w:cs="Calibri"/>
          <w:color w:val="333333"/>
        </w:rPr>
        <w:br w:type="page"/>
      </w:r>
    </w:p>
    <w:p w14:paraId="3C8BE5A6" w14:textId="77777777" w:rsidR="00E87CE3" w:rsidRPr="002E1D48" w:rsidRDefault="00E87CE3" w:rsidP="00E87CE3">
      <w:pPr>
        <w:rPr>
          <w:rFonts w:ascii="Calibri" w:hAnsi="Calibri" w:cs="Calibri"/>
          <w:b/>
          <w:bCs/>
          <w:color w:val="333333"/>
          <w:sz w:val="22"/>
          <w:szCs w:val="22"/>
        </w:rPr>
      </w:pPr>
      <w:r w:rsidRPr="002E1D48">
        <w:rPr>
          <w:rFonts w:ascii="Calibri" w:hAnsi="Calibri" w:cs="Calibri"/>
          <w:b/>
          <w:bCs/>
          <w:color w:val="333333"/>
          <w:sz w:val="22"/>
          <w:szCs w:val="22"/>
        </w:rPr>
        <w:lastRenderedPageBreak/>
        <w:t>Figur 2: Procentvis ændring i det gennemsnitlige antal visiterede hjemmehjælpstimer pr. 65+årig i eget hjem, 2010-2020</w:t>
      </w:r>
    </w:p>
    <w:p w14:paraId="5DF5F0E9" w14:textId="77777777" w:rsidR="00E87CE3" w:rsidRPr="00A710CE" w:rsidRDefault="00E87CE3" w:rsidP="00E87CE3">
      <w:pPr>
        <w:rPr>
          <w:rFonts w:ascii="Calibri" w:hAnsi="Calibri" w:cs="Calibri"/>
          <w:color w:val="333333"/>
        </w:rPr>
      </w:pPr>
      <w:r w:rsidRPr="00A710CE">
        <w:rPr>
          <w:rFonts w:ascii="Calibri" w:hAnsi="Calibri" w:cs="Calibri"/>
          <w:noProof/>
        </w:rPr>
        <w:drawing>
          <wp:inline distT="0" distB="0" distL="0" distR="0" wp14:anchorId="7F4D5781" wp14:editId="5522DAEF">
            <wp:extent cx="6009005" cy="7658100"/>
            <wp:effectExtent l="0" t="0" r="10795" b="0"/>
            <wp:docPr id="5" name="Diagram 5">
              <a:extLst xmlns:a="http://schemas.openxmlformats.org/drawingml/2006/main">
                <a:ext uri="{FF2B5EF4-FFF2-40B4-BE49-F238E27FC236}">
                  <a16:creationId xmlns:a16="http://schemas.microsoft.com/office/drawing/2014/main" id="{0ACC122C-59C7-4772-9886-CAA3EA2A2E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281228" w14:textId="77777777" w:rsidR="00E87CE3" w:rsidRPr="00A710CE" w:rsidRDefault="00E87CE3" w:rsidP="00E87CE3">
      <w:pPr>
        <w:rPr>
          <w:rFonts w:ascii="Calibri" w:hAnsi="Calibri" w:cs="Calibri"/>
          <w:color w:val="333333"/>
        </w:rPr>
      </w:pPr>
      <w:r w:rsidRPr="00A710CE">
        <w:rPr>
          <w:rFonts w:ascii="Calibri" w:hAnsi="Calibri" w:cs="Calibri"/>
          <w:noProof/>
        </w:rPr>
        <w:lastRenderedPageBreak/>
        <w:drawing>
          <wp:inline distT="0" distB="0" distL="0" distR="0" wp14:anchorId="3535F265" wp14:editId="58C5ECA7">
            <wp:extent cx="6009005" cy="8313420"/>
            <wp:effectExtent l="0" t="0" r="10795" b="11430"/>
            <wp:docPr id="6" name="Diagram 6">
              <a:extLst xmlns:a="http://schemas.openxmlformats.org/drawingml/2006/main">
                <a:ext uri="{FF2B5EF4-FFF2-40B4-BE49-F238E27FC236}">
                  <a16:creationId xmlns:a16="http://schemas.microsoft.com/office/drawing/2014/main" id="{4569BFC2-FF75-4DAA-BE30-F27CEC9925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300DBD" w14:textId="53AF4CB4" w:rsidR="00E87CE3" w:rsidRPr="002E1D48" w:rsidRDefault="005C1FD6" w:rsidP="009B5B69">
      <w:pPr>
        <w:rPr>
          <w:rFonts w:ascii="Calibri" w:hAnsi="Calibri" w:cs="Calibri"/>
          <w:szCs w:val="20"/>
        </w:rPr>
      </w:pPr>
      <w:r w:rsidRPr="002E1D48">
        <w:rPr>
          <w:rFonts w:ascii="Calibri" w:hAnsi="Calibri" w:cs="Calibri"/>
          <w:szCs w:val="20"/>
        </w:rPr>
        <w:t>Kilde: Danmarks Statistik og egne beregninger</w:t>
      </w:r>
    </w:p>
    <w:p w14:paraId="48E19271" w14:textId="2872BCF3" w:rsidR="008D701D" w:rsidRPr="00A710CE" w:rsidRDefault="008D701D">
      <w:pPr>
        <w:autoSpaceDE/>
        <w:autoSpaceDN/>
        <w:adjustRightInd/>
        <w:spacing w:line="240" w:lineRule="auto"/>
        <w:textAlignment w:val="auto"/>
        <w:rPr>
          <w:rFonts w:ascii="Calibri" w:hAnsi="Calibri" w:cs="Calibri"/>
        </w:rPr>
        <w:sectPr w:rsidR="008D701D" w:rsidRPr="00A710CE" w:rsidSect="0071668F">
          <w:headerReference w:type="even" r:id="rId13"/>
          <w:headerReference w:type="default" r:id="rId14"/>
          <w:footerReference w:type="even" r:id="rId15"/>
          <w:footerReference w:type="default" r:id="rId16"/>
          <w:headerReference w:type="first" r:id="rId17"/>
          <w:footerReference w:type="first" r:id="rId18"/>
          <w:type w:val="continuous"/>
          <w:pgSz w:w="11901" w:h="16840" w:code="9"/>
          <w:pgMar w:top="1701" w:right="1758" w:bottom="1418" w:left="1247" w:header="567" w:footer="567" w:gutter="0"/>
          <w:cols w:space="708"/>
          <w:titlePg/>
          <w:docGrid w:linePitch="360"/>
        </w:sectPr>
      </w:pPr>
    </w:p>
    <w:p w14:paraId="6EC90BA9" w14:textId="1BF784DB" w:rsidR="008D701D" w:rsidRPr="00A710CE" w:rsidRDefault="008D701D">
      <w:pPr>
        <w:autoSpaceDE/>
        <w:autoSpaceDN/>
        <w:adjustRightInd/>
        <w:spacing w:line="240" w:lineRule="auto"/>
        <w:textAlignment w:val="auto"/>
        <w:rPr>
          <w:rFonts w:ascii="Calibri" w:hAnsi="Calibri" w:cs="Calibri"/>
        </w:rPr>
      </w:pPr>
    </w:p>
    <w:p w14:paraId="01B07D4F" w14:textId="6AC3F891" w:rsidR="008D701D" w:rsidRPr="00A710CE" w:rsidRDefault="008D701D">
      <w:pPr>
        <w:autoSpaceDE/>
        <w:autoSpaceDN/>
        <w:adjustRightInd/>
        <w:spacing w:line="240" w:lineRule="auto"/>
        <w:textAlignment w:val="auto"/>
        <w:rPr>
          <w:rFonts w:ascii="Calibri" w:hAnsi="Calibri" w:cs="Calibri"/>
        </w:rPr>
      </w:pPr>
    </w:p>
    <w:p w14:paraId="7B23CDB5" w14:textId="27979357" w:rsidR="008D701D" w:rsidRPr="00A710CE" w:rsidRDefault="008D701D">
      <w:pPr>
        <w:autoSpaceDE/>
        <w:autoSpaceDN/>
        <w:adjustRightInd/>
        <w:spacing w:line="240" w:lineRule="auto"/>
        <w:textAlignment w:val="auto"/>
        <w:rPr>
          <w:rFonts w:ascii="Calibri" w:hAnsi="Calibri" w:cs="Calibri"/>
        </w:rPr>
      </w:pPr>
    </w:p>
    <w:p w14:paraId="7CFC2A5F" w14:textId="70F2806F" w:rsidR="008D701D" w:rsidRPr="00A710CE" w:rsidRDefault="008D701D">
      <w:pPr>
        <w:autoSpaceDE/>
        <w:autoSpaceDN/>
        <w:adjustRightInd/>
        <w:spacing w:line="240" w:lineRule="auto"/>
        <w:textAlignment w:val="auto"/>
        <w:rPr>
          <w:rFonts w:ascii="Calibri" w:hAnsi="Calibri" w:cs="Calibri"/>
        </w:rPr>
      </w:pPr>
    </w:p>
    <w:p w14:paraId="22362154" w14:textId="11A968DD" w:rsidR="008D701D" w:rsidRPr="00A710CE" w:rsidRDefault="008D701D">
      <w:pPr>
        <w:autoSpaceDE/>
        <w:autoSpaceDN/>
        <w:adjustRightInd/>
        <w:spacing w:line="240" w:lineRule="auto"/>
        <w:textAlignment w:val="auto"/>
        <w:rPr>
          <w:rFonts w:ascii="Calibri" w:hAnsi="Calibri" w:cs="Calibri"/>
        </w:rPr>
      </w:pPr>
    </w:p>
    <w:p w14:paraId="2C09AA37" w14:textId="09D3B8DB" w:rsidR="008D701D" w:rsidRPr="00A710CE" w:rsidRDefault="008D701D">
      <w:pPr>
        <w:autoSpaceDE/>
        <w:autoSpaceDN/>
        <w:adjustRightInd/>
        <w:spacing w:line="240" w:lineRule="auto"/>
        <w:textAlignment w:val="auto"/>
        <w:rPr>
          <w:rFonts w:ascii="Calibri" w:hAnsi="Calibri" w:cs="Calibri"/>
        </w:rPr>
      </w:pPr>
    </w:p>
    <w:p w14:paraId="1A6757DE" w14:textId="09A29CDE" w:rsidR="008D701D" w:rsidRPr="00A710CE" w:rsidRDefault="008D701D">
      <w:pPr>
        <w:autoSpaceDE/>
        <w:autoSpaceDN/>
        <w:adjustRightInd/>
        <w:spacing w:line="240" w:lineRule="auto"/>
        <w:textAlignment w:val="auto"/>
        <w:rPr>
          <w:rFonts w:ascii="Calibri" w:hAnsi="Calibri" w:cs="Calibri"/>
        </w:rPr>
      </w:pPr>
    </w:p>
    <w:p w14:paraId="3E68B37C" w14:textId="51BA76C9" w:rsidR="008D701D" w:rsidRPr="00A710CE" w:rsidRDefault="008D701D">
      <w:pPr>
        <w:autoSpaceDE/>
        <w:autoSpaceDN/>
        <w:adjustRightInd/>
        <w:spacing w:line="240" w:lineRule="auto"/>
        <w:textAlignment w:val="auto"/>
        <w:rPr>
          <w:rFonts w:ascii="Calibri" w:hAnsi="Calibri" w:cs="Calibri"/>
        </w:rPr>
      </w:pPr>
    </w:p>
    <w:tbl>
      <w:tblPr>
        <w:tblW w:w="5000" w:type="pct"/>
        <w:tblCellMar>
          <w:left w:w="70" w:type="dxa"/>
          <w:right w:w="70" w:type="dxa"/>
        </w:tblCellMar>
        <w:tblLook w:val="04A0" w:firstRow="1" w:lastRow="0" w:firstColumn="1" w:lastColumn="0" w:noHBand="0" w:noVBand="1"/>
      </w:tblPr>
      <w:tblGrid>
        <w:gridCol w:w="4583"/>
        <w:gridCol w:w="763"/>
        <w:gridCol w:w="763"/>
        <w:gridCol w:w="763"/>
        <w:gridCol w:w="763"/>
        <w:gridCol w:w="763"/>
        <w:gridCol w:w="760"/>
        <w:gridCol w:w="760"/>
        <w:gridCol w:w="760"/>
        <w:gridCol w:w="760"/>
        <w:gridCol w:w="760"/>
        <w:gridCol w:w="760"/>
        <w:gridCol w:w="763"/>
      </w:tblGrid>
      <w:tr w:rsidR="008D701D" w:rsidRPr="00A710CE" w14:paraId="744C37E1" w14:textId="77777777" w:rsidTr="0006207A">
        <w:trPr>
          <w:trHeight w:val="20"/>
        </w:trPr>
        <w:tc>
          <w:tcPr>
            <w:tcW w:w="5000" w:type="pct"/>
            <w:gridSpan w:val="13"/>
            <w:shd w:val="clear" w:color="auto" w:fill="305698"/>
            <w:noWrap/>
            <w:vAlign w:val="bottom"/>
          </w:tcPr>
          <w:p w14:paraId="79EF819C" w14:textId="541E7CB8" w:rsidR="008D701D" w:rsidRPr="00A710CE" w:rsidRDefault="00C57121" w:rsidP="00E51DC2">
            <w:pPr>
              <w:rPr>
                <w:rFonts w:ascii="Calibri" w:hAnsi="Calibri" w:cs="Calibri"/>
                <w:b/>
                <w:bCs/>
                <w:sz w:val="22"/>
                <w:szCs w:val="22"/>
              </w:rPr>
            </w:pPr>
            <w:r w:rsidRPr="00A710CE">
              <w:rPr>
                <w:rFonts w:ascii="Calibri" w:hAnsi="Calibri" w:cs="Calibri"/>
                <w:b/>
                <w:bCs/>
                <w:color w:val="FFFFFF" w:themeColor="background1"/>
                <w:sz w:val="22"/>
                <w:szCs w:val="22"/>
              </w:rPr>
              <w:t xml:space="preserve">Tabel 1. </w:t>
            </w:r>
            <w:r w:rsidR="008D701D" w:rsidRPr="00A710CE">
              <w:rPr>
                <w:rFonts w:ascii="Calibri" w:hAnsi="Calibri" w:cs="Calibri"/>
                <w:b/>
                <w:bCs/>
                <w:color w:val="FFFFFF" w:themeColor="background1"/>
                <w:sz w:val="22"/>
                <w:szCs w:val="22"/>
              </w:rPr>
              <w:t>Kommunernes ældreudgifter, mia. kr. (2021-priser)</w:t>
            </w:r>
          </w:p>
        </w:tc>
      </w:tr>
      <w:tr w:rsidR="008D701D" w:rsidRPr="00A710CE" w14:paraId="2166DC07" w14:textId="77777777" w:rsidTr="0006207A">
        <w:trPr>
          <w:trHeight w:val="300"/>
        </w:trPr>
        <w:tc>
          <w:tcPr>
            <w:tcW w:w="1670" w:type="pct"/>
            <w:tcBorders>
              <w:bottom w:val="single" w:sz="4" w:space="0" w:color="305698"/>
            </w:tcBorders>
            <w:shd w:val="clear" w:color="auto" w:fill="auto"/>
            <w:noWrap/>
            <w:vAlign w:val="bottom"/>
            <w:hideMark/>
          </w:tcPr>
          <w:p w14:paraId="2B089678" w14:textId="77777777" w:rsidR="008D701D" w:rsidRPr="00A710CE" w:rsidRDefault="008D701D" w:rsidP="00E51DC2">
            <w:pPr>
              <w:spacing w:line="240" w:lineRule="auto"/>
              <w:rPr>
                <w:rFonts w:ascii="Calibri" w:hAnsi="Calibri" w:cs="Calibri"/>
                <w:sz w:val="22"/>
                <w:szCs w:val="22"/>
              </w:rPr>
            </w:pPr>
            <w:r w:rsidRPr="00A710CE">
              <w:rPr>
                <w:rFonts w:ascii="Calibri" w:hAnsi="Calibri" w:cs="Calibri"/>
                <w:sz w:val="22"/>
                <w:szCs w:val="22"/>
              </w:rPr>
              <w:t> </w:t>
            </w:r>
          </w:p>
        </w:tc>
        <w:tc>
          <w:tcPr>
            <w:tcW w:w="278" w:type="pct"/>
            <w:tcBorders>
              <w:bottom w:val="single" w:sz="4" w:space="0" w:color="305698"/>
            </w:tcBorders>
            <w:shd w:val="clear" w:color="000000" w:fill="FFFFFF"/>
            <w:noWrap/>
            <w:vAlign w:val="center"/>
            <w:hideMark/>
          </w:tcPr>
          <w:p w14:paraId="03814A72"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2010</w:t>
            </w:r>
          </w:p>
        </w:tc>
        <w:tc>
          <w:tcPr>
            <w:tcW w:w="278" w:type="pct"/>
            <w:tcBorders>
              <w:bottom w:val="single" w:sz="4" w:space="0" w:color="305698"/>
            </w:tcBorders>
            <w:shd w:val="clear" w:color="000000" w:fill="FFFFFF"/>
            <w:noWrap/>
            <w:vAlign w:val="center"/>
            <w:hideMark/>
          </w:tcPr>
          <w:p w14:paraId="1211AA85"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2011</w:t>
            </w:r>
          </w:p>
        </w:tc>
        <w:tc>
          <w:tcPr>
            <w:tcW w:w="278" w:type="pct"/>
            <w:tcBorders>
              <w:bottom w:val="single" w:sz="4" w:space="0" w:color="305698"/>
            </w:tcBorders>
            <w:shd w:val="clear" w:color="000000" w:fill="FFFFFF"/>
            <w:noWrap/>
            <w:vAlign w:val="center"/>
            <w:hideMark/>
          </w:tcPr>
          <w:p w14:paraId="4AC75F25"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2012</w:t>
            </w:r>
          </w:p>
        </w:tc>
        <w:tc>
          <w:tcPr>
            <w:tcW w:w="278" w:type="pct"/>
            <w:tcBorders>
              <w:bottom w:val="single" w:sz="4" w:space="0" w:color="305698"/>
            </w:tcBorders>
            <w:shd w:val="clear" w:color="000000" w:fill="FFFFFF"/>
            <w:noWrap/>
            <w:vAlign w:val="center"/>
            <w:hideMark/>
          </w:tcPr>
          <w:p w14:paraId="5D99FC6F"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2013</w:t>
            </w:r>
          </w:p>
        </w:tc>
        <w:tc>
          <w:tcPr>
            <w:tcW w:w="278" w:type="pct"/>
            <w:tcBorders>
              <w:bottom w:val="single" w:sz="4" w:space="0" w:color="305698"/>
            </w:tcBorders>
            <w:shd w:val="clear" w:color="000000" w:fill="FFFFFF"/>
            <w:noWrap/>
            <w:vAlign w:val="center"/>
            <w:hideMark/>
          </w:tcPr>
          <w:p w14:paraId="77762109"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2014</w:t>
            </w:r>
          </w:p>
        </w:tc>
        <w:tc>
          <w:tcPr>
            <w:tcW w:w="277" w:type="pct"/>
            <w:tcBorders>
              <w:bottom w:val="single" w:sz="4" w:space="0" w:color="305698"/>
            </w:tcBorders>
            <w:shd w:val="clear" w:color="000000" w:fill="FFFFFF"/>
            <w:noWrap/>
            <w:vAlign w:val="center"/>
            <w:hideMark/>
          </w:tcPr>
          <w:p w14:paraId="09DE59FF"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2015</w:t>
            </w:r>
          </w:p>
        </w:tc>
        <w:tc>
          <w:tcPr>
            <w:tcW w:w="277" w:type="pct"/>
            <w:tcBorders>
              <w:bottom w:val="single" w:sz="4" w:space="0" w:color="305698"/>
            </w:tcBorders>
            <w:shd w:val="clear" w:color="000000" w:fill="FFFFFF"/>
            <w:noWrap/>
            <w:vAlign w:val="center"/>
            <w:hideMark/>
          </w:tcPr>
          <w:p w14:paraId="322F4BB4"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2016</w:t>
            </w:r>
          </w:p>
        </w:tc>
        <w:tc>
          <w:tcPr>
            <w:tcW w:w="277" w:type="pct"/>
            <w:tcBorders>
              <w:bottom w:val="single" w:sz="4" w:space="0" w:color="305698"/>
            </w:tcBorders>
            <w:shd w:val="clear" w:color="000000" w:fill="FFFFFF"/>
            <w:noWrap/>
            <w:vAlign w:val="center"/>
            <w:hideMark/>
          </w:tcPr>
          <w:p w14:paraId="5B77F77B"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2017</w:t>
            </w:r>
          </w:p>
        </w:tc>
        <w:tc>
          <w:tcPr>
            <w:tcW w:w="277" w:type="pct"/>
            <w:tcBorders>
              <w:bottom w:val="single" w:sz="4" w:space="0" w:color="305698"/>
            </w:tcBorders>
            <w:shd w:val="clear" w:color="000000" w:fill="FFFFFF"/>
            <w:noWrap/>
            <w:vAlign w:val="center"/>
            <w:hideMark/>
          </w:tcPr>
          <w:p w14:paraId="245E0147"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2018</w:t>
            </w:r>
          </w:p>
        </w:tc>
        <w:tc>
          <w:tcPr>
            <w:tcW w:w="277" w:type="pct"/>
            <w:tcBorders>
              <w:bottom w:val="single" w:sz="4" w:space="0" w:color="305698"/>
            </w:tcBorders>
            <w:shd w:val="clear" w:color="000000" w:fill="FFFFFF"/>
            <w:noWrap/>
            <w:vAlign w:val="center"/>
            <w:hideMark/>
          </w:tcPr>
          <w:p w14:paraId="4563C13B"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2019</w:t>
            </w:r>
          </w:p>
        </w:tc>
        <w:tc>
          <w:tcPr>
            <w:tcW w:w="277" w:type="pct"/>
            <w:tcBorders>
              <w:bottom w:val="single" w:sz="4" w:space="0" w:color="305698"/>
            </w:tcBorders>
            <w:shd w:val="clear" w:color="000000" w:fill="FFFFFF"/>
            <w:noWrap/>
            <w:vAlign w:val="center"/>
            <w:hideMark/>
          </w:tcPr>
          <w:p w14:paraId="1EF8D65E"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2020</w:t>
            </w:r>
          </w:p>
        </w:tc>
        <w:tc>
          <w:tcPr>
            <w:tcW w:w="278" w:type="pct"/>
            <w:tcBorders>
              <w:bottom w:val="single" w:sz="4" w:space="0" w:color="305698"/>
            </w:tcBorders>
            <w:shd w:val="clear" w:color="000000" w:fill="FFFFFF"/>
            <w:noWrap/>
            <w:vAlign w:val="center"/>
            <w:hideMark/>
          </w:tcPr>
          <w:p w14:paraId="4B449722"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2021</w:t>
            </w:r>
          </w:p>
        </w:tc>
      </w:tr>
      <w:tr w:rsidR="008D701D" w:rsidRPr="00A710CE" w14:paraId="0344D241" w14:textId="77777777" w:rsidTr="0006207A">
        <w:trPr>
          <w:trHeight w:val="300"/>
        </w:trPr>
        <w:tc>
          <w:tcPr>
            <w:tcW w:w="1670" w:type="pct"/>
            <w:tcBorders>
              <w:top w:val="single" w:sz="4" w:space="0" w:color="305698"/>
            </w:tcBorders>
            <w:shd w:val="clear" w:color="000000" w:fill="CEDBF0"/>
            <w:noWrap/>
            <w:hideMark/>
          </w:tcPr>
          <w:p w14:paraId="0213C8DF" w14:textId="77777777" w:rsidR="008D701D" w:rsidRPr="00A710CE" w:rsidRDefault="008D701D" w:rsidP="00E51DC2">
            <w:pPr>
              <w:spacing w:line="240" w:lineRule="auto"/>
              <w:rPr>
                <w:rFonts w:ascii="Calibri" w:hAnsi="Calibri" w:cs="Calibri"/>
                <w:sz w:val="22"/>
                <w:szCs w:val="22"/>
              </w:rPr>
            </w:pPr>
            <w:r w:rsidRPr="00A710CE">
              <w:rPr>
                <w:rFonts w:ascii="Calibri" w:hAnsi="Calibri" w:cs="Calibri"/>
                <w:sz w:val="22"/>
                <w:szCs w:val="22"/>
              </w:rPr>
              <w:t>Faktiske udgifter</w:t>
            </w:r>
          </w:p>
        </w:tc>
        <w:tc>
          <w:tcPr>
            <w:tcW w:w="278" w:type="pct"/>
            <w:tcBorders>
              <w:top w:val="single" w:sz="4" w:space="0" w:color="305698"/>
            </w:tcBorders>
            <w:shd w:val="clear" w:color="000000" w:fill="CEDBF0"/>
            <w:noWrap/>
            <w:vAlign w:val="center"/>
            <w:hideMark/>
          </w:tcPr>
          <w:p w14:paraId="4C0DBBB3"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43,6</w:t>
            </w:r>
          </w:p>
        </w:tc>
        <w:tc>
          <w:tcPr>
            <w:tcW w:w="278" w:type="pct"/>
            <w:tcBorders>
              <w:top w:val="single" w:sz="4" w:space="0" w:color="305698"/>
            </w:tcBorders>
            <w:shd w:val="clear" w:color="000000" w:fill="CEDBF0"/>
            <w:noWrap/>
            <w:vAlign w:val="center"/>
            <w:hideMark/>
          </w:tcPr>
          <w:p w14:paraId="45E68DB5"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42,7</w:t>
            </w:r>
          </w:p>
        </w:tc>
        <w:tc>
          <w:tcPr>
            <w:tcW w:w="278" w:type="pct"/>
            <w:tcBorders>
              <w:top w:val="single" w:sz="4" w:space="0" w:color="305698"/>
            </w:tcBorders>
            <w:shd w:val="clear" w:color="000000" w:fill="CEDBF0"/>
            <w:noWrap/>
            <w:vAlign w:val="center"/>
            <w:hideMark/>
          </w:tcPr>
          <w:p w14:paraId="38D734C4"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42,5</w:t>
            </w:r>
          </w:p>
        </w:tc>
        <w:tc>
          <w:tcPr>
            <w:tcW w:w="278" w:type="pct"/>
            <w:tcBorders>
              <w:top w:val="single" w:sz="4" w:space="0" w:color="305698"/>
            </w:tcBorders>
            <w:shd w:val="clear" w:color="000000" w:fill="CEDBF0"/>
            <w:noWrap/>
            <w:vAlign w:val="center"/>
            <w:hideMark/>
          </w:tcPr>
          <w:p w14:paraId="33101F24"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43,7</w:t>
            </w:r>
          </w:p>
        </w:tc>
        <w:tc>
          <w:tcPr>
            <w:tcW w:w="278" w:type="pct"/>
            <w:tcBorders>
              <w:top w:val="single" w:sz="4" w:space="0" w:color="305698"/>
            </w:tcBorders>
            <w:shd w:val="clear" w:color="000000" w:fill="CEDBF0"/>
            <w:noWrap/>
            <w:vAlign w:val="center"/>
            <w:hideMark/>
          </w:tcPr>
          <w:p w14:paraId="0C877D0D"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43,9</w:t>
            </w:r>
          </w:p>
        </w:tc>
        <w:tc>
          <w:tcPr>
            <w:tcW w:w="277" w:type="pct"/>
            <w:tcBorders>
              <w:top w:val="single" w:sz="4" w:space="0" w:color="305698"/>
            </w:tcBorders>
            <w:shd w:val="clear" w:color="000000" w:fill="CEDBF0"/>
            <w:noWrap/>
            <w:vAlign w:val="center"/>
            <w:hideMark/>
          </w:tcPr>
          <w:p w14:paraId="44D50E73"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44,8</w:t>
            </w:r>
          </w:p>
        </w:tc>
        <w:tc>
          <w:tcPr>
            <w:tcW w:w="277" w:type="pct"/>
            <w:tcBorders>
              <w:top w:val="single" w:sz="4" w:space="0" w:color="305698"/>
            </w:tcBorders>
            <w:shd w:val="clear" w:color="000000" w:fill="CEDBF0"/>
            <w:noWrap/>
            <w:vAlign w:val="center"/>
            <w:hideMark/>
          </w:tcPr>
          <w:p w14:paraId="3C982A7E"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45,5</w:t>
            </w:r>
          </w:p>
        </w:tc>
        <w:tc>
          <w:tcPr>
            <w:tcW w:w="277" w:type="pct"/>
            <w:tcBorders>
              <w:top w:val="single" w:sz="4" w:space="0" w:color="305698"/>
            </w:tcBorders>
            <w:shd w:val="clear" w:color="000000" w:fill="CEDBF0"/>
            <w:noWrap/>
            <w:vAlign w:val="center"/>
            <w:hideMark/>
          </w:tcPr>
          <w:p w14:paraId="34A30003"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46,4</w:t>
            </w:r>
          </w:p>
        </w:tc>
        <w:tc>
          <w:tcPr>
            <w:tcW w:w="277" w:type="pct"/>
            <w:tcBorders>
              <w:top w:val="single" w:sz="4" w:space="0" w:color="305698"/>
            </w:tcBorders>
            <w:shd w:val="clear" w:color="000000" w:fill="CEDBF0"/>
            <w:noWrap/>
            <w:vAlign w:val="center"/>
            <w:hideMark/>
          </w:tcPr>
          <w:p w14:paraId="6C443D91"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44,8</w:t>
            </w:r>
          </w:p>
        </w:tc>
        <w:tc>
          <w:tcPr>
            <w:tcW w:w="277" w:type="pct"/>
            <w:tcBorders>
              <w:top w:val="single" w:sz="4" w:space="0" w:color="305698"/>
            </w:tcBorders>
            <w:shd w:val="clear" w:color="000000" w:fill="CEDBF0"/>
            <w:noWrap/>
            <w:vAlign w:val="center"/>
            <w:hideMark/>
          </w:tcPr>
          <w:p w14:paraId="10FAD2A6"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46,2</w:t>
            </w:r>
          </w:p>
        </w:tc>
        <w:tc>
          <w:tcPr>
            <w:tcW w:w="277" w:type="pct"/>
            <w:tcBorders>
              <w:top w:val="single" w:sz="4" w:space="0" w:color="305698"/>
            </w:tcBorders>
            <w:shd w:val="clear" w:color="000000" w:fill="CEDBF0"/>
            <w:noWrap/>
            <w:vAlign w:val="center"/>
            <w:hideMark/>
          </w:tcPr>
          <w:p w14:paraId="016FDE3C"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48,1</w:t>
            </w:r>
          </w:p>
        </w:tc>
        <w:tc>
          <w:tcPr>
            <w:tcW w:w="278" w:type="pct"/>
            <w:tcBorders>
              <w:top w:val="single" w:sz="4" w:space="0" w:color="305698"/>
            </w:tcBorders>
            <w:shd w:val="clear" w:color="000000" w:fill="CEDBF0"/>
            <w:noWrap/>
            <w:vAlign w:val="center"/>
            <w:hideMark/>
          </w:tcPr>
          <w:p w14:paraId="3BAD528D"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47,9</w:t>
            </w:r>
          </w:p>
        </w:tc>
      </w:tr>
      <w:tr w:rsidR="008D701D" w:rsidRPr="00A710CE" w14:paraId="20064756" w14:textId="77777777" w:rsidTr="0006207A">
        <w:trPr>
          <w:trHeight w:val="300"/>
        </w:trPr>
        <w:tc>
          <w:tcPr>
            <w:tcW w:w="1670" w:type="pct"/>
            <w:tcBorders>
              <w:bottom w:val="single" w:sz="4" w:space="0" w:color="305698"/>
            </w:tcBorders>
            <w:shd w:val="clear" w:color="000000" w:fill="FFFFFF"/>
            <w:noWrap/>
            <w:hideMark/>
          </w:tcPr>
          <w:p w14:paraId="0242BD31" w14:textId="77777777" w:rsidR="008D701D" w:rsidRPr="00A710CE" w:rsidRDefault="008D701D" w:rsidP="00E51DC2">
            <w:pPr>
              <w:spacing w:line="240" w:lineRule="auto"/>
              <w:rPr>
                <w:rFonts w:ascii="Calibri" w:hAnsi="Calibri" w:cs="Calibri"/>
                <w:sz w:val="22"/>
                <w:szCs w:val="22"/>
              </w:rPr>
            </w:pPr>
            <w:r w:rsidRPr="00A710CE">
              <w:rPr>
                <w:rFonts w:ascii="Calibri" w:hAnsi="Calibri" w:cs="Calibri"/>
                <w:sz w:val="22"/>
                <w:szCs w:val="22"/>
              </w:rPr>
              <w:t>Udgifter ved samme niveau som i 2010</w:t>
            </w:r>
          </w:p>
        </w:tc>
        <w:tc>
          <w:tcPr>
            <w:tcW w:w="278" w:type="pct"/>
            <w:tcBorders>
              <w:bottom w:val="single" w:sz="4" w:space="0" w:color="305698"/>
            </w:tcBorders>
            <w:shd w:val="clear" w:color="000000" w:fill="FFFFFF"/>
            <w:noWrap/>
            <w:vAlign w:val="center"/>
            <w:hideMark/>
          </w:tcPr>
          <w:p w14:paraId="5560AF68"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43,6</w:t>
            </w:r>
          </w:p>
        </w:tc>
        <w:tc>
          <w:tcPr>
            <w:tcW w:w="278" w:type="pct"/>
            <w:tcBorders>
              <w:bottom w:val="single" w:sz="4" w:space="0" w:color="305698"/>
            </w:tcBorders>
            <w:shd w:val="clear" w:color="000000" w:fill="FFFFFF"/>
            <w:noWrap/>
            <w:vAlign w:val="center"/>
            <w:hideMark/>
          </w:tcPr>
          <w:p w14:paraId="793618DE"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44,3</w:t>
            </w:r>
          </w:p>
        </w:tc>
        <w:tc>
          <w:tcPr>
            <w:tcW w:w="278" w:type="pct"/>
            <w:tcBorders>
              <w:bottom w:val="single" w:sz="4" w:space="0" w:color="305698"/>
            </w:tcBorders>
            <w:shd w:val="clear" w:color="000000" w:fill="FFFFFF"/>
            <w:noWrap/>
            <w:vAlign w:val="center"/>
            <w:hideMark/>
          </w:tcPr>
          <w:p w14:paraId="2B64EB05"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45,3</w:t>
            </w:r>
          </w:p>
        </w:tc>
        <w:tc>
          <w:tcPr>
            <w:tcW w:w="278" w:type="pct"/>
            <w:tcBorders>
              <w:bottom w:val="single" w:sz="4" w:space="0" w:color="305698"/>
            </w:tcBorders>
            <w:shd w:val="clear" w:color="000000" w:fill="FFFFFF"/>
            <w:noWrap/>
            <w:vAlign w:val="center"/>
            <w:hideMark/>
          </w:tcPr>
          <w:p w14:paraId="5998E7B8"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46,4</w:t>
            </w:r>
          </w:p>
        </w:tc>
        <w:tc>
          <w:tcPr>
            <w:tcW w:w="278" w:type="pct"/>
            <w:tcBorders>
              <w:bottom w:val="single" w:sz="4" w:space="0" w:color="305698"/>
            </w:tcBorders>
            <w:shd w:val="clear" w:color="000000" w:fill="FFFFFF"/>
            <w:noWrap/>
            <w:vAlign w:val="center"/>
            <w:hideMark/>
          </w:tcPr>
          <w:p w14:paraId="59FE73EE"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47,5</w:t>
            </w:r>
          </w:p>
        </w:tc>
        <w:tc>
          <w:tcPr>
            <w:tcW w:w="277" w:type="pct"/>
            <w:tcBorders>
              <w:bottom w:val="single" w:sz="4" w:space="0" w:color="305698"/>
            </w:tcBorders>
            <w:shd w:val="clear" w:color="000000" w:fill="FFFFFF"/>
            <w:noWrap/>
            <w:vAlign w:val="center"/>
            <w:hideMark/>
          </w:tcPr>
          <w:p w14:paraId="11B2557E"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48,8</w:t>
            </w:r>
          </w:p>
        </w:tc>
        <w:tc>
          <w:tcPr>
            <w:tcW w:w="277" w:type="pct"/>
            <w:tcBorders>
              <w:bottom w:val="single" w:sz="4" w:space="0" w:color="305698"/>
            </w:tcBorders>
            <w:shd w:val="clear" w:color="000000" w:fill="FFFFFF"/>
            <w:noWrap/>
            <w:vAlign w:val="center"/>
            <w:hideMark/>
          </w:tcPr>
          <w:p w14:paraId="0186890F"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50,0</w:t>
            </w:r>
          </w:p>
        </w:tc>
        <w:tc>
          <w:tcPr>
            <w:tcW w:w="277" w:type="pct"/>
            <w:tcBorders>
              <w:bottom w:val="single" w:sz="4" w:space="0" w:color="305698"/>
            </w:tcBorders>
            <w:shd w:val="clear" w:color="000000" w:fill="FFFFFF"/>
            <w:noWrap/>
            <w:vAlign w:val="center"/>
            <w:hideMark/>
          </w:tcPr>
          <w:p w14:paraId="2144C677"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51,2</w:t>
            </w:r>
          </w:p>
        </w:tc>
        <w:tc>
          <w:tcPr>
            <w:tcW w:w="277" w:type="pct"/>
            <w:tcBorders>
              <w:bottom w:val="single" w:sz="4" w:space="0" w:color="305698"/>
            </w:tcBorders>
            <w:shd w:val="clear" w:color="000000" w:fill="FFFFFF"/>
            <w:noWrap/>
            <w:vAlign w:val="center"/>
            <w:hideMark/>
          </w:tcPr>
          <w:p w14:paraId="667E77AE"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52,5</w:t>
            </w:r>
          </w:p>
        </w:tc>
        <w:tc>
          <w:tcPr>
            <w:tcW w:w="277" w:type="pct"/>
            <w:tcBorders>
              <w:bottom w:val="single" w:sz="4" w:space="0" w:color="305698"/>
            </w:tcBorders>
            <w:shd w:val="clear" w:color="000000" w:fill="FFFFFF"/>
            <w:noWrap/>
            <w:vAlign w:val="center"/>
            <w:hideMark/>
          </w:tcPr>
          <w:p w14:paraId="1CC23940"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53,6</w:t>
            </w:r>
          </w:p>
        </w:tc>
        <w:tc>
          <w:tcPr>
            <w:tcW w:w="277" w:type="pct"/>
            <w:tcBorders>
              <w:bottom w:val="single" w:sz="4" w:space="0" w:color="305698"/>
            </w:tcBorders>
            <w:shd w:val="clear" w:color="000000" w:fill="FFFFFF"/>
            <w:noWrap/>
            <w:vAlign w:val="center"/>
            <w:hideMark/>
          </w:tcPr>
          <w:p w14:paraId="621AFEC0"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55,2</w:t>
            </w:r>
          </w:p>
        </w:tc>
        <w:tc>
          <w:tcPr>
            <w:tcW w:w="278" w:type="pct"/>
            <w:tcBorders>
              <w:bottom w:val="single" w:sz="4" w:space="0" w:color="305698"/>
            </w:tcBorders>
            <w:shd w:val="clear" w:color="000000" w:fill="FFFFFF"/>
            <w:noWrap/>
            <w:vAlign w:val="center"/>
            <w:hideMark/>
          </w:tcPr>
          <w:p w14:paraId="40ABF5EC" w14:textId="77777777" w:rsidR="008D701D" w:rsidRPr="00A710CE" w:rsidRDefault="008D701D" w:rsidP="00E51DC2">
            <w:pPr>
              <w:spacing w:line="240" w:lineRule="auto"/>
              <w:jc w:val="right"/>
              <w:rPr>
                <w:rFonts w:ascii="Calibri" w:hAnsi="Calibri" w:cs="Calibri"/>
                <w:sz w:val="22"/>
                <w:szCs w:val="22"/>
              </w:rPr>
            </w:pPr>
            <w:r w:rsidRPr="00A710CE">
              <w:rPr>
                <w:rFonts w:ascii="Calibri" w:hAnsi="Calibri" w:cs="Calibri"/>
                <w:sz w:val="22"/>
                <w:szCs w:val="22"/>
              </w:rPr>
              <w:t>56,8</w:t>
            </w:r>
          </w:p>
        </w:tc>
      </w:tr>
      <w:tr w:rsidR="008D701D" w:rsidRPr="00A710CE" w14:paraId="6241F711" w14:textId="77777777" w:rsidTr="0006207A">
        <w:trPr>
          <w:trHeight w:val="300"/>
        </w:trPr>
        <w:tc>
          <w:tcPr>
            <w:tcW w:w="1670" w:type="pct"/>
            <w:tcBorders>
              <w:top w:val="single" w:sz="4" w:space="0" w:color="305698"/>
              <w:bottom w:val="single" w:sz="4" w:space="0" w:color="305698"/>
            </w:tcBorders>
            <w:shd w:val="clear" w:color="000000" w:fill="CEDBF0"/>
            <w:noWrap/>
            <w:hideMark/>
          </w:tcPr>
          <w:p w14:paraId="2BEB7799" w14:textId="17B01F85" w:rsidR="008D701D" w:rsidRPr="00A710CE" w:rsidRDefault="008D701D" w:rsidP="00E51DC2">
            <w:pPr>
              <w:spacing w:line="240" w:lineRule="auto"/>
              <w:rPr>
                <w:rFonts w:ascii="Calibri" w:hAnsi="Calibri" w:cs="Calibri"/>
                <w:b/>
                <w:bCs/>
                <w:sz w:val="22"/>
                <w:szCs w:val="22"/>
              </w:rPr>
            </w:pPr>
            <w:r w:rsidRPr="00A710CE">
              <w:rPr>
                <w:rFonts w:ascii="Calibri" w:hAnsi="Calibri" w:cs="Calibri"/>
                <w:b/>
                <w:bCs/>
                <w:sz w:val="22"/>
                <w:szCs w:val="22"/>
              </w:rPr>
              <w:t>Manglende demografikompensation</w:t>
            </w:r>
          </w:p>
        </w:tc>
        <w:tc>
          <w:tcPr>
            <w:tcW w:w="278" w:type="pct"/>
            <w:tcBorders>
              <w:top w:val="single" w:sz="4" w:space="0" w:color="305698"/>
              <w:bottom w:val="single" w:sz="4" w:space="0" w:color="305698"/>
            </w:tcBorders>
            <w:shd w:val="clear" w:color="000000" w:fill="CEDBF0"/>
            <w:noWrap/>
            <w:vAlign w:val="center"/>
            <w:hideMark/>
          </w:tcPr>
          <w:p w14:paraId="0357FBC2"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0,0</w:t>
            </w:r>
          </w:p>
        </w:tc>
        <w:tc>
          <w:tcPr>
            <w:tcW w:w="278" w:type="pct"/>
            <w:tcBorders>
              <w:top w:val="single" w:sz="4" w:space="0" w:color="305698"/>
              <w:bottom w:val="single" w:sz="4" w:space="0" w:color="305698"/>
            </w:tcBorders>
            <w:shd w:val="clear" w:color="000000" w:fill="CEDBF0"/>
            <w:noWrap/>
            <w:vAlign w:val="center"/>
            <w:hideMark/>
          </w:tcPr>
          <w:p w14:paraId="6161E66A"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1,6</w:t>
            </w:r>
          </w:p>
        </w:tc>
        <w:tc>
          <w:tcPr>
            <w:tcW w:w="278" w:type="pct"/>
            <w:tcBorders>
              <w:top w:val="single" w:sz="4" w:space="0" w:color="305698"/>
              <w:bottom w:val="single" w:sz="4" w:space="0" w:color="305698"/>
            </w:tcBorders>
            <w:shd w:val="clear" w:color="000000" w:fill="CEDBF0"/>
            <w:noWrap/>
            <w:vAlign w:val="center"/>
            <w:hideMark/>
          </w:tcPr>
          <w:p w14:paraId="03D15F68"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2,7</w:t>
            </w:r>
          </w:p>
        </w:tc>
        <w:tc>
          <w:tcPr>
            <w:tcW w:w="278" w:type="pct"/>
            <w:tcBorders>
              <w:top w:val="single" w:sz="4" w:space="0" w:color="305698"/>
              <w:bottom w:val="single" w:sz="4" w:space="0" w:color="305698"/>
            </w:tcBorders>
            <w:shd w:val="clear" w:color="000000" w:fill="CEDBF0"/>
            <w:noWrap/>
            <w:vAlign w:val="center"/>
            <w:hideMark/>
          </w:tcPr>
          <w:p w14:paraId="1245C5AB"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2,7</w:t>
            </w:r>
          </w:p>
        </w:tc>
        <w:tc>
          <w:tcPr>
            <w:tcW w:w="278" w:type="pct"/>
            <w:tcBorders>
              <w:top w:val="single" w:sz="4" w:space="0" w:color="305698"/>
              <w:bottom w:val="single" w:sz="4" w:space="0" w:color="305698"/>
            </w:tcBorders>
            <w:shd w:val="clear" w:color="000000" w:fill="CEDBF0"/>
            <w:noWrap/>
            <w:vAlign w:val="center"/>
            <w:hideMark/>
          </w:tcPr>
          <w:p w14:paraId="19BCDD08"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3,6</w:t>
            </w:r>
          </w:p>
        </w:tc>
        <w:tc>
          <w:tcPr>
            <w:tcW w:w="277" w:type="pct"/>
            <w:tcBorders>
              <w:top w:val="single" w:sz="4" w:space="0" w:color="305698"/>
              <w:bottom w:val="single" w:sz="4" w:space="0" w:color="305698"/>
            </w:tcBorders>
            <w:shd w:val="clear" w:color="000000" w:fill="CEDBF0"/>
            <w:noWrap/>
            <w:vAlign w:val="center"/>
            <w:hideMark/>
          </w:tcPr>
          <w:p w14:paraId="7D784050"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4,0</w:t>
            </w:r>
          </w:p>
        </w:tc>
        <w:tc>
          <w:tcPr>
            <w:tcW w:w="277" w:type="pct"/>
            <w:tcBorders>
              <w:top w:val="single" w:sz="4" w:space="0" w:color="305698"/>
              <w:bottom w:val="single" w:sz="4" w:space="0" w:color="305698"/>
            </w:tcBorders>
            <w:shd w:val="clear" w:color="000000" w:fill="CEDBF0"/>
            <w:noWrap/>
            <w:vAlign w:val="center"/>
            <w:hideMark/>
          </w:tcPr>
          <w:p w14:paraId="0948370D"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4,5</w:t>
            </w:r>
          </w:p>
        </w:tc>
        <w:tc>
          <w:tcPr>
            <w:tcW w:w="277" w:type="pct"/>
            <w:tcBorders>
              <w:top w:val="single" w:sz="4" w:space="0" w:color="305698"/>
              <w:bottom w:val="single" w:sz="4" w:space="0" w:color="305698"/>
            </w:tcBorders>
            <w:shd w:val="clear" w:color="000000" w:fill="CEDBF0"/>
            <w:noWrap/>
            <w:vAlign w:val="center"/>
            <w:hideMark/>
          </w:tcPr>
          <w:p w14:paraId="3274961C"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4,8</w:t>
            </w:r>
          </w:p>
        </w:tc>
        <w:tc>
          <w:tcPr>
            <w:tcW w:w="277" w:type="pct"/>
            <w:tcBorders>
              <w:top w:val="single" w:sz="4" w:space="0" w:color="305698"/>
              <w:bottom w:val="single" w:sz="4" w:space="0" w:color="305698"/>
            </w:tcBorders>
            <w:shd w:val="clear" w:color="000000" w:fill="CEDBF0"/>
            <w:noWrap/>
            <w:vAlign w:val="center"/>
            <w:hideMark/>
          </w:tcPr>
          <w:p w14:paraId="3DAF8657"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7,7</w:t>
            </w:r>
          </w:p>
        </w:tc>
        <w:tc>
          <w:tcPr>
            <w:tcW w:w="277" w:type="pct"/>
            <w:tcBorders>
              <w:top w:val="single" w:sz="4" w:space="0" w:color="305698"/>
              <w:bottom w:val="single" w:sz="4" w:space="0" w:color="305698"/>
            </w:tcBorders>
            <w:shd w:val="clear" w:color="000000" w:fill="CEDBF0"/>
            <w:noWrap/>
            <w:vAlign w:val="center"/>
            <w:hideMark/>
          </w:tcPr>
          <w:p w14:paraId="11C18D1A"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7,5</w:t>
            </w:r>
          </w:p>
        </w:tc>
        <w:tc>
          <w:tcPr>
            <w:tcW w:w="277" w:type="pct"/>
            <w:tcBorders>
              <w:top w:val="single" w:sz="4" w:space="0" w:color="305698"/>
              <w:bottom w:val="single" w:sz="4" w:space="0" w:color="305698"/>
            </w:tcBorders>
            <w:shd w:val="clear" w:color="000000" w:fill="CEDBF0"/>
            <w:noWrap/>
            <w:vAlign w:val="center"/>
            <w:hideMark/>
          </w:tcPr>
          <w:p w14:paraId="494EDB96"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7,1</w:t>
            </w:r>
          </w:p>
        </w:tc>
        <w:tc>
          <w:tcPr>
            <w:tcW w:w="278" w:type="pct"/>
            <w:tcBorders>
              <w:top w:val="single" w:sz="4" w:space="0" w:color="305698"/>
              <w:bottom w:val="single" w:sz="4" w:space="0" w:color="305698"/>
            </w:tcBorders>
            <w:shd w:val="clear" w:color="000000" w:fill="CEDBF0"/>
            <w:noWrap/>
            <w:vAlign w:val="center"/>
            <w:hideMark/>
          </w:tcPr>
          <w:p w14:paraId="714AEBB8" w14:textId="77777777" w:rsidR="008D701D" w:rsidRPr="00A710CE" w:rsidRDefault="008D701D" w:rsidP="00E51DC2">
            <w:pPr>
              <w:spacing w:line="240" w:lineRule="auto"/>
              <w:jc w:val="right"/>
              <w:rPr>
                <w:rFonts w:ascii="Calibri" w:hAnsi="Calibri" w:cs="Calibri"/>
                <w:b/>
                <w:bCs/>
                <w:sz w:val="22"/>
                <w:szCs w:val="22"/>
              </w:rPr>
            </w:pPr>
            <w:r w:rsidRPr="00A710CE">
              <w:rPr>
                <w:rFonts w:ascii="Calibri" w:hAnsi="Calibri" w:cs="Calibri"/>
                <w:b/>
                <w:bCs/>
                <w:sz w:val="22"/>
                <w:szCs w:val="22"/>
              </w:rPr>
              <w:t>8,9</w:t>
            </w:r>
          </w:p>
        </w:tc>
      </w:tr>
    </w:tbl>
    <w:p w14:paraId="386802F6" w14:textId="4CA9447F" w:rsidR="004344E7" w:rsidRDefault="004344E7" w:rsidP="004344E7">
      <w:pPr>
        <w:autoSpaceDE/>
        <w:autoSpaceDN/>
        <w:adjustRightInd/>
        <w:spacing w:line="240" w:lineRule="auto"/>
        <w:textAlignment w:val="auto"/>
        <w:rPr>
          <w:rFonts w:ascii="Calibri" w:hAnsi="Calibri" w:cs="Calibri"/>
        </w:rPr>
      </w:pPr>
      <w:r w:rsidRPr="00A710CE">
        <w:rPr>
          <w:rFonts w:ascii="Calibri" w:hAnsi="Calibri" w:cs="Calibri"/>
        </w:rPr>
        <w:t xml:space="preserve">Kilde: </w:t>
      </w:r>
      <w:r>
        <w:rPr>
          <w:rFonts w:ascii="Calibri" w:hAnsi="Calibri" w:cs="Calibri"/>
        </w:rPr>
        <w:t xml:space="preserve">Tal fra Jes Søgaard </w:t>
      </w:r>
      <w:r w:rsidR="006F379E">
        <w:rPr>
          <w:rFonts w:ascii="Calibri" w:hAnsi="Calibri" w:cs="Calibri"/>
        </w:rPr>
        <w:t>(</w:t>
      </w:r>
      <w:r>
        <w:rPr>
          <w:rFonts w:ascii="Calibri" w:hAnsi="Calibri" w:cs="Calibri"/>
        </w:rPr>
        <w:t>2010-2017</w:t>
      </w:r>
      <w:r w:rsidR="006F379E">
        <w:rPr>
          <w:rFonts w:ascii="Calibri" w:hAnsi="Calibri" w:cs="Calibri"/>
        </w:rPr>
        <w:t>)</w:t>
      </w:r>
      <w:r>
        <w:rPr>
          <w:rStyle w:val="Fodnotehenvisning"/>
          <w:rFonts w:ascii="Calibri" w:hAnsi="Calibri" w:cs="Calibri"/>
        </w:rPr>
        <w:footnoteReference w:id="2"/>
      </w:r>
      <w:r>
        <w:rPr>
          <w:rFonts w:ascii="Calibri" w:hAnsi="Calibri" w:cs="Calibri"/>
        </w:rPr>
        <w:t xml:space="preserve">. Statistikbanken; REGK31 </w:t>
      </w:r>
      <w:r w:rsidR="006F379E">
        <w:rPr>
          <w:rFonts w:ascii="Calibri" w:hAnsi="Calibri" w:cs="Calibri"/>
        </w:rPr>
        <w:t>(</w:t>
      </w:r>
      <w:r>
        <w:rPr>
          <w:rFonts w:ascii="Calibri" w:hAnsi="Calibri" w:cs="Calibri"/>
        </w:rPr>
        <w:t>2018-2020</w:t>
      </w:r>
      <w:r w:rsidR="006F379E">
        <w:rPr>
          <w:rFonts w:ascii="Calibri" w:hAnsi="Calibri" w:cs="Calibri"/>
        </w:rPr>
        <w:t>)</w:t>
      </w:r>
      <w:r>
        <w:rPr>
          <w:rFonts w:ascii="Calibri" w:hAnsi="Calibri" w:cs="Calibri"/>
        </w:rPr>
        <w:t xml:space="preserve">; BUDK32 </w:t>
      </w:r>
      <w:r w:rsidR="006F379E">
        <w:rPr>
          <w:rFonts w:ascii="Calibri" w:hAnsi="Calibri" w:cs="Calibri"/>
        </w:rPr>
        <w:t>(</w:t>
      </w:r>
      <w:r>
        <w:rPr>
          <w:rFonts w:ascii="Calibri" w:hAnsi="Calibri" w:cs="Calibri"/>
        </w:rPr>
        <w:t>2021</w:t>
      </w:r>
      <w:r w:rsidR="006F379E">
        <w:rPr>
          <w:rFonts w:ascii="Calibri" w:hAnsi="Calibri" w:cs="Calibri"/>
        </w:rPr>
        <w:t>)</w:t>
      </w:r>
      <w:r>
        <w:rPr>
          <w:rFonts w:ascii="Calibri" w:hAnsi="Calibri" w:cs="Calibri"/>
        </w:rPr>
        <w:t>. Og egne beregninger.</w:t>
      </w:r>
    </w:p>
    <w:p w14:paraId="094670C3" w14:textId="365B7EE8" w:rsidR="004344E7" w:rsidRPr="00A710CE" w:rsidRDefault="004344E7" w:rsidP="004344E7">
      <w:pPr>
        <w:autoSpaceDE/>
        <w:autoSpaceDN/>
        <w:adjustRightInd/>
        <w:spacing w:line="240" w:lineRule="auto"/>
        <w:textAlignment w:val="auto"/>
        <w:rPr>
          <w:rFonts w:ascii="Calibri" w:hAnsi="Calibri" w:cs="Calibri"/>
        </w:rPr>
      </w:pPr>
      <w:r>
        <w:rPr>
          <w:rFonts w:ascii="Calibri" w:hAnsi="Calibri" w:cs="Calibri"/>
        </w:rPr>
        <w:t>Note</w:t>
      </w:r>
      <w:r w:rsidR="00DA122D">
        <w:rPr>
          <w:rFonts w:ascii="Calibri" w:hAnsi="Calibri" w:cs="Calibri"/>
        </w:rPr>
        <w:t xml:space="preserve"> I</w:t>
      </w:r>
      <w:r>
        <w:rPr>
          <w:rFonts w:ascii="Calibri" w:hAnsi="Calibri" w:cs="Calibri"/>
        </w:rPr>
        <w:t xml:space="preserve">: Der er anvendt regnskabstal i det omfang det har været muligt. Der er ikke kommet regnskabstal for 2021, hvorfor budgettallet </w:t>
      </w:r>
      <w:r w:rsidR="00913A29">
        <w:rPr>
          <w:rFonts w:ascii="Calibri" w:hAnsi="Calibri" w:cs="Calibri"/>
        </w:rPr>
        <w:t>fremgår</w:t>
      </w:r>
      <w:r>
        <w:rPr>
          <w:rFonts w:ascii="Calibri" w:hAnsi="Calibri" w:cs="Calibri"/>
        </w:rPr>
        <w:t xml:space="preserve">. </w:t>
      </w:r>
    </w:p>
    <w:p w14:paraId="3BAAC5BC" w14:textId="61A80E24" w:rsidR="006D5F89" w:rsidRPr="006D5F89" w:rsidRDefault="00DA122D" w:rsidP="006D5F89">
      <w:pPr>
        <w:rPr>
          <w:rFonts w:ascii="Calibri" w:hAnsi="Calibri" w:cs="Calibri"/>
        </w:rPr>
      </w:pPr>
      <w:r>
        <w:rPr>
          <w:rFonts w:ascii="Calibri" w:hAnsi="Calibri" w:cs="Calibri"/>
        </w:rPr>
        <w:t xml:space="preserve">Note II: </w:t>
      </w:r>
      <w:r w:rsidR="006D5F89">
        <w:rPr>
          <w:rFonts w:ascii="Calibri" w:hAnsi="Calibri" w:cs="Calibri"/>
        </w:rPr>
        <w:t>De anvendte vægte</w:t>
      </w:r>
      <w:r w:rsidR="006D5F89" w:rsidRPr="006D5F89">
        <w:rPr>
          <w:rFonts w:ascii="Calibri" w:hAnsi="Calibri" w:cs="Calibri"/>
        </w:rPr>
        <w:t xml:space="preserve"> for de enkelte aldersgruppers udgiftsbehov stammer fra en endnu ikke offentliggjort ekstern konsulentrapport, som udarbejdes på vegne af Ældre Sagen (forventes offentliggjort i efteråret 2021)</w:t>
      </w:r>
    </w:p>
    <w:p w14:paraId="6FF9EAF2" w14:textId="21709C75" w:rsidR="00DA122D" w:rsidRPr="00A710CE" w:rsidRDefault="00DA122D" w:rsidP="00DA122D">
      <w:pPr>
        <w:autoSpaceDE/>
        <w:autoSpaceDN/>
        <w:adjustRightInd/>
        <w:spacing w:line="240" w:lineRule="auto"/>
        <w:textAlignment w:val="auto"/>
        <w:rPr>
          <w:rFonts w:ascii="Calibri" w:hAnsi="Calibri" w:cs="Calibri"/>
        </w:rPr>
      </w:pPr>
    </w:p>
    <w:p w14:paraId="1097A38C" w14:textId="2469DA53" w:rsidR="008D701D" w:rsidRPr="00A710CE" w:rsidRDefault="008D701D">
      <w:pPr>
        <w:autoSpaceDE/>
        <w:autoSpaceDN/>
        <w:adjustRightInd/>
        <w:spacing w:line="240" w:lineRule="auto"/>
        <w:textAlignment w:val="auto"/>
        <w:rPr>
          <w:rFonts w:ascii="Calibri" w:hAnsi="Calibri" w:cs="Calibri"/>
        </w:rPr>
      </w:pPr>
    </w:p>
    <w:p w14:paraId="1C86C991" w14:textId="77777777" w:rsidR="008D701D" w:rsidRPr="00A710CE" w:rsidRDefault="008D701D">
      <w:pPr>
        <w:autoSpaceDE/>
        <w:autoSpaceDN/>
        <w:adjustRightInd/>
        <w:spacing w:line="240" w:lineRule="auto"/>
        <w:textAlignment w:val="auto"/>
        <w:rPr>
          <w:rFonts w:ascii="Calibri" w:hAnsi="Calibri" w:cs="Calibri"/>
        </w:rPr>
      </w:pPr>
    </w:p>
    <w:p w14:paraId="4657A988" w14:textId="77777777" w:rsidR="008D701D" w:rsidRPr="00A710CE" w:rsidRDefault="008D701D">
      <w:pPr>
        <w:autoSpaceDE/>
        <w:autoSpaceDN/>
        <w:adjustRightInd/>
        <w:spacing w:line="240" w:lineRule="auto"/>
        <w:textAlignment w:val="auto"/>
        <w:rPr>
          <w:rFonts w:ascii="Calibri" w:hAnsi="Calibri" w:cs="Calibri"/>
        </w:rPr>
      </w:pPr>
    </w:p>
    <w:tbl>
      <w:tblPr>
        <w:tblW w:w="5000" w:type="pct"/>
        <w:tblCellMar>
          <w:left w:w="70" w:type="dxa"/>
          <w:right w:w="70" w:type="dxa"/>
        </w:tblCellMar>
        <w:tblLook w:val="04A0" w:firstRow="1" w:lastRow="0" w:firstColumn="1" w:lastColumn="0" w:noHBand="0" w:noVBand="1"/>
      </w:tblPr>
      <w:tblGrid>
        <w:gridCol w:w="5218"/>
        <w:gridCol w:w="1701"/>
        <w:gridCol w:w="1701"/>
        <w:gridCol w:w="1701"/>
        <w:gridCol w:w="1701"/>
        <w:gridCol w:w="1699"/>
      </w:tblGrid>
      <w:tr w:rsidR="008D701D" w:rsidRPr="00A710CE" w14:paraId="7126E42A" w14:textId="77777777" w:rsidTr="0006207A">
        <w:trPr>
          <w:trHeight w:val="300"/>
        </w:trPr>
        <w:tc>
          <w:tcPr>
            <w:tcW w:w="5000" w:type="pct"/>
            <w:gridSpan w:val="6"/>
            <w:shd w:val="clear" w:color="auto" w:fill="305698"/>
            <w:noWrap/>
          </w:tcPr>
          <w:p w14:paraId="2C0FB1DB" w14:textId="04D53697" w:rsidR="008D701D" w:rsidRPr="00A710CE" w:rsidRDefault="00C57121" w:rsidP="00E51DC2">
            <w:pPr>
              <w:rPr>
                <w:rFonts w:ascii="Calibri" w:hAnsi="Calibri" w:cs="Calibri"/>
                <w:b/>
                <w:bCs/>
                <w:sz w:val="22"/>
                <w:szCs w:val="22"/>
              </w:rPr>
            </w:pPr>
            <w:r w:rsidRPr="00A710CE">
              <w:rPr>
                <w:rFonts w:ascii="Calibri" w:hAnsi="Calibri" w:cs="Calibri"/>
                <w:b/>
                <w:bCs/>
                <w:color w:val="FFFFFF" w:themeColor="background1"/>
                <w:sz w:val="22"/>
                <w:szCs w:val="22"/>
              </w:rPr>
              <w:t xml:space="preserve">Tabel 2. </w:t>
            </w:r>
            <w:r w:rsidR="008D701D" w:rsidRPr="00A710CE">
              <w:rPr>
                <w:rFonts w:ascii="Calibri" w:hAnsi="Calibri" w:cs="Calibri"/>
                <w:b/>
                <w:bCs/>
                <w:color w:val="FFFFFF" w:themeColor="background1"/>
                <w:sz w:val="22"/>
                <w:szCs w:val="22"/>
              </w:rPr>
              <w:t>Estimerede demografibetingede ekstraudgifter til ældreområdet de kommende år (ved fastholdelse af 2021-udgiftsniveau pr. ældre)</w:t>
            </w:r>
          </w:p>
        </w:tc>
      </w:tr>
      <w:tr w:rsidR="008D701D" w:rsidRPr="00A710CE" w14:paraId="112ED99D" w14:textId="77777777" w:rsidTr="004344E7">
        <w:trPr>
          <w:trHeight w:val="300"/>
        </w:trPr>
        <w:tc>
          <w:tcPr>
            <w:tcW w:w="1901" w:type="pct"/>
            <w:tcBorders>
              <w:bottom w:val="single" w:sz="4" w:space="0" w:color="305698"/>
            </w:tcBorders>
            <w:shd w:val="clear" w:color="auto" w:fill="FFFFFF" w:themeFill="background1"/>
            <w:noWrap/>
            <w:hideMark/>
          </w:tcPr>
          <w:p w14:paraId="7C0C15A4" w14:textId="77777777" w:rsidR="008D701D" w:rsidRPr="00A710CE" w:rsidRDefault="008D701D" w:rsidP="00E51DC2">
            <w:pPr>
              <w:spacing w:line="240" w:lineRule="auto"/>
              <w:rPr>
                <w:rFonts w:ascii="Calibri" w:hAnsi="Calibri" w:cs="Calibri"/>
                <w:b/>
                <w:bCs/>
                <w:sz w:val="22"/>
                <w:szCs w:val="22"/>
              </w:rPr>
            </w:pPr>
            <w:r w:rsidRPr="00A710CE">
              <w:rPr>
                <w:rFonts w:ascii="Calibri" w:hAnsi="Calibri" w:cs="Calibri"/>
                <w:b/>
                <w:bCs/>
                <w:sz w:val="22"/>
                <w:szCs w:val="22"/>
              </w:rPr>
              <w:t> </w:t>
            </w:r>
          </w:p>
        </w:tc>
        <w:tc>
          <w:tcPr>
            <w:tcW w:w="620" w:type="pct"/>
            <w:tcBorders>
              <w:bottom w:val="single" w:sz="4" w:space="0" w:color="305698"/>
            </w:tcBorders>
            <w:shd w:val="clear" w:color="auto" w:fill="FFFFFF" w:themeFill="background1"/>
            <w:noWrap/>
            <w:vAlign w:val="center"/>
            <w:hideMark/>
          </w:tcPr>
          <w:p w14:paraId="76A7347A" w14:textId="77777777" w:rsidR="008D701D" w:rsidRPr="00A710CE" w:rsidRDefault="008D701D" w:rsidP="00D77ADB">
            <w:pPr>
              <w:spacing w:line="240" w:lineRule="auto"/>
              <w:jc w:val="right"/>
              <w:rPr>
                <w:rFonts w:ascii="Calibri" w:hAnsi="Calibri" w:cs="Calibri"/>
                <w:b/>
                <w:bCs/>
                <w:sz w:val="22"/>
                <w:szCs w:val="22"/>
              </w:rPr>
            </w:pPr>
            <w:r w:rsidRPr="00A710CE">
              <w:rPr>
                <w:rFonts w:ascii="Calibri" w:hAnsi="Calibri" w:cs="Calibri"/>
                <w:b/>
                <w:bCs/>
                <w:sz w:val="22"/>
                <w:szCs w:val="22"/>
              </w:rPr>
              <w:t>2021</w:t>
            </w:r>
          </w:p>
        </w:tc>
        <w:tc>
          <w:tcPr>
            <w:tcW w:w="620" w:type="pct"/>
            <w:tcBorders>
              <w:bottom w:val="single" w:sz="4" w:space="0" w:color="305698"/>
            </w:tcBorders>
            <w:shd w:val="clear" w:color="auto" w:fill="FFFFFF" w:themeFill="background1"/>
            <w:noWrap/>
            <w:vAlign w:val="center"/>
            <w:hideMark/>
          </w:tcPr>
          <w:p w14:paraId="07952EED" w14:textId="77777777" w:rsidR="008D701D" w:rsidRPr="00A710CE" w:rsidRDefault="008D701D" w:rsidP="00D77ADB">
            <w:pPr>
              <w:spacing w:line="240" w:lineRule="auto"/>
              <w:jc w:val="right"/>
              <w:rPr>
                <w:rFonts w:ascii="Calibri" w:hAnsi="Calibri" w:cs="Calibri"/>
                <w:b/>
                <w:bCs/>
                <w:sz w:val="22"/>
                <w:szCs w:val="22"/>
              </w:rPr>
            </w:pPr>
            <w:r w:rsidRPr="00A710CE">
              <w:rPr>
                <w:rFonts w:ascii="Calibri" w:hAnsi="Calibri" w:cs="Calibri"/>
                <w:b/>
                <w:bCs/>
                <w:sz w:val="22"/>
                <w:szCs w:val="22"/>
              </w:rPr>
              <w:t>2022</w:t>
            </w:r>
          </w:p>
        </w:tc>
        <w:tc>
          <w:tcPr>
            <w:tcW w:w="620" w:type="pct"/>
            <w:tcBorders>
              <w:bottom w:val="single" w:sz="4" w:space="0" w:color="305698"/>
            </w:tcBorders>
            <w:shd w:val="clear" w:color="auto" w:fill="FFFFFF" w:themeFill="background1"/>
            <w:noWrap/>
            <w:vAlign w:val="center"/>
            <w:hideMark/>
          </w:tcPr>
          <w:p w14:paraId="0135DE4B" w14:textId="77777777" w:rsidR="008D701D" w:rsidRPr="00A710CE" w:rsidRDefault="008D701D" w:rsidP="00D77ADB">
            <w:pPr>
              <w:spacing w:line="240" w:lineRule="auto"/>
              <w:jc w:val="right"/>
              <w:rPr>
                <w:rFonts w:ascii="Calibri" w:hAnsi="Calibri" w:cs="Calibri"/>
                <w:b/>
                <w:bCs/>
                <w:sz w:val="22"/>
                <w:szCs w:val="22"/>
              </w:rPr>
            </w:pPr>
            <w:r w:rsidRPr="00A710CE">
              <w:rPr>
                <w:rFonts w:ascii="Calibri" w:hAnsi="Calibri" w:cs="Calibri"/>
                <w:b/>
                <w:bCs/>
                <w:sz w:val="22"/>
                <w:szCs w:val="22"/>
              </w:rPr>
              <w:t>2023</w:t>
            </w:r>
          </w:p>
        </w:tc>
        <w:tc>
          <w:tcPr>
            <w:tcW w:w="620" w:type="pct"/>
            <w:tcBorders>
              <w:bottom w:val="single" w:sz="4" w:space="0" w:color="305698"/>
            </w:tcBorders>
            <w:shd w:val="clear" w:color="auto" w:fill="FFFFFF" w:themeFill="background1"/>
            <w:noWrap/>
            <w:vAlign w:val="center"/>
            <w:hideMark/>
          </w:tcPr>
          <w:p w14:paraId="0A9D8C76" w14:textId="77777777" w:rsidR="008D701D" w:rsidRPr="00A710CE" w:rsidRDefault="008D701D" w:rsidP="00D77ADB">
            <w:pPr>
              <w:spacing w:line="240" w:lineRule="auto"/>
              <w:jc w:val="right"/>
              <w:rPr>
                <w:rFonts w:ascii="Calibri" w:hAnsi="Calibri" w:cs="Calibri"/>
                <w:b/>
                <w:bCs/>
                <w:sz w:val="22"/>
                <w:szCs w:val="22"/>
              </w:rPr>
            </w:pPr>
            <w:r w:rsidRPr="00A710CE">
              <w:rPr>
                <w:rFonts w:ascii="Calibri" w:hAnsi="Calibri" w:cs="Calibri"/>
                <w:b/>
                <w:bCs/>
                <w:sz w:val="22"/>
                <w:szCs w:val="22"/>
              </w:rPr>
              <w:t>2024</w:t>
            </w:r>
          </w:p>
        </w:tc>
        <w:tc>
          <w:tcPr>
            <w:tcW w:w="619" w:type="pct"/>
            <w:tcBorders>
              <w:bottom w:val="single" w:sz="4" w:space="0" w:color="305698"/>
            </w:tcBorders>
            <w:shd w:val="clear" w:color="auto" w:fill="FFFFFF" w:themeFill="background1"/>
            <w:noWrap/>
            <w:vAlign w:val="center"/>
            <w:hideMark/>
          </w:tcPr>
          <w:p w14:paraId="59223A99" w14:textId="77777777" w:rsidR="008D701D" w:rsidRPr="00A710CE" w:rsidRDefault="008D701D" w:rsidP="00D77ADB">
            <w:pPr>
              <w:spacing w:line="240" w:lineRule="auto"/>
              <w:jc w:val="right"/>
              <w:rPr>
                <w:rFonts w:ascii="Calibri" w:hAnsi="Calibri" w:cs="Calibri"/>
                <w:b/>
                <w:bCs/>
                <w:sz w:val="22"/>
                <w:szCs w:val="22"/>
              </w:rPr>
            </w:pPr>
            <w:r w:rsidRPr="00A710CE">
              <w:rPr>
                <w:rFonts w:ascii="Calibri" w:hAnsi="Calibri" w:cs="Calibri"/>
                <w:b/>
                <w:bCs/>
                <w:sz w:val="22"/>
                <w:szCs w:val="22"/>
              </w:rPr>
              <w:t>2025</w:t>
            </w:r>
          </w:p>
        </w:tc>
      </w:tr>
      <w:tr w:rsidR="008D701D" w:rsidRPr="00A710CE" w14:paraId="77FD277E" w14:textId="77777777" w:rsidTr="004344E7">
        <w:trPr>
          <w:trHeight w:val="300"/>
        </w:trPr>
        <w:tc>
          <w:tcPr>
            <w:tcW w:w="1901" w:type="pct"/>
            <w:tcBorders>
              <w:top w:val="single" w:sz="4" w:space="0" w:color="305698"/>
              <w:bottom w:val="single" w:sz="4" w:space="0" w:color="305698"/>
            </w:tcBorders>
            <w:shd w:val="clear" w:color="auto" w:fill="CEDBF0"/>
            <w:noWrap/>
            <w:hideMark/>
          </w:tcPr>
          <w:p w14:paraId="4D5F058C" w14:textId="77777777" w:rsidR="008D701D" w:rsidRPr="00A710CE" w:rsidRDefault="008D701D" w:rsidP="00E51DC2">
            <w:pPr>
              <w:spacing w:line="240" w:lineRule="auto"/>
              <w:rPr>
                <w:rFonts w:ascii="Calibri" w:hAnsi="Calibri" w:cs="Calibri"/>
                <w:sz w:val="22"/>
                <w:szCs w:val="22"/>
              </w:rPr>
            </w:pPr>
            <w:r w:rsidRPr="00A710CE">
              <w:rPr>
                <w:rFonts w:ascii="Calibri" w:hAnsi="Calibri" w:cs="Calibri"/>
                <w:sz w:val="22"/>
                <w:szCs w:val="22"/>
              </w:rPr>
              <w:t>Estimerede udgifter</w:t>
            </w:r>
          </w:p>
        </w:tc>
        <w:tc>
          <w:tcPr>
            <w:tcW w:w="620" w:type="pct"/>
            <w:tcBorders>
              <w:top w:val="single" w:sz="4" w:space="0" w:color="305698"/>
              <w:bottom w:val="single" w:sz="4" w:space="0" w:color="305698"/>
            </w:tcBorders>
            <w:shd w:val="clear" w:color="auto" w:fill="CEDBF0"/>
            <w:noWrap/>
            <w:vAlign w:val="center"/>
            <w:hideMark/>
          </w:tcPr>
          <w:p w14:paraId="51649776" w14:textId="77777777" w:rsidR="008D701D" w:rsidRPr="00A710CE" w:rsidRDefault="008D701D" w:rsidP="00D77ADB">
            <w:pPr>
              <w:spacing w:line="240" w:lineRule="auto"/>
              <w:jc w:val="right"/>
              <w:rPr>
                <w:rFonts w:ascii="Calibri" w:hAnsi="Calibri" w:cs="Calibri"/>
                <w:sz w:val="22"/>
                <w:szCs w:val="22"/>
              </w:rPr>
            </w:pPr>
            <w:r w:rsidRPr="00A710CE">
              <w:rPr>
                <w:rFonts w:ascii="Calibri" w:hAnsi="Calibri" w:cs="Calibri"/>
                <w:sz w:val="22"/>
                <w:szCs w:val="22"/>
              </w:rPr>
              <w:t>47,9</w:t>
            </w:r>
          </w:p>
        </w:tc>
        <w:tc>
          <w:tcPr>
            <w:tcW w:w="620" w:type="pct"/>
            <w:tcBorders>
              <w:top w:val="single" w:sz="4" w:space="0" w:color="305698"/>
              <w:bottom w:val="single" w:sz="4" w:space="0" w:color="305698"/>
            </w:tcBorders>
            <w:shd w:val="clear" w:color="auto" w:fill="CEDBF0"/>
            <w:noWrap/>
            <w:vAlign w:val="center"/>
            <w:hideMark/>
          </w:tcPr>
          <w:p w14:paraId="1B136E46" w14:textId="77777777" w:rsidR="008D701D" w:rsidRPr="00A710CE" w:rsidRDefault="008D701D" w:rsidP="00D77ADB">
            <w:pPr>
              <w:spacing w:line="240" w:lineRule="auto"/>
              <w:jc w:val="right"/>
              <w:rPr>
                <w:rFonts w:ascii="Calibri" w:hAnsi="Calibri" w:cs="Calibri"/>
                <w:sz w:val="22"/>
                <w:szCs w:val="22"/>
              </w:rPr>
            </w:pPr>
            <w:r w:rsidRPr="00A710CE">
              <w:rPr>
                <w:rFonts w:ascii="Calibri" w:hAnsi="Calibri" w:cs="Calibri"/>
                <w:sz w:val="22"/>
                <w:szCs w:val="22"/>
              </w:rPr>
              <w:t>49,3</w:t>
            </w:r>
          </w:p>
        </w:tc>
        <w:tc>
          <w:tcPr>
            <w:tcW w:w="620" w:type="pct"/>
            <w:tcBorders>
              <w:top w:val="single" w:sz="4" w:space="0" w:color="305698"/>
              <w:bottom w:val="single" w:sz="4" w:space="0" w:color="305698"/>
            </w:tcBorders>
            <w:shd w:val="clear" w:color="auto" w:fill="CEDBF0"/>
            <w:noWrap/>
            <w:vAlign w:val="center"/>
            <w:hideMark/>
          </w:tcPr>
          <w:p w14:paraId="537A3631" w14:textId="77777777" w:rsidR="008D701D" w:rsidRPr="00A710CE" w:rsidRDefault="008D701D" w:rsidP="00D77ADB">
            <w:pPr>
              <w:spacing w:line="240" w:lineRule="auto"/>
              <w:jc w:val="right"/>
              <w:rPr>
                <w:rFonts w:ascii="Calibri" w:hAnsi="Calibri" w:cs="Calibri"/>
                <w:sz w:val="22"/>
                <w:szCs w:val="22"/>
              </w:rPr>
            </w:pPr>
            <w:r w:rsidRPr="00A710CE">
              <w:rPr>
                <w:rFonts w:ascii="Calibri" w:hAnsi="Calibri" w:cs="Calibri"/>
                <w:sz w:val="22"/>
                <w:szCs w:val="22"/>
              </w:rPr>
              <w:t>50,8</w:t>
            </w:r>
          </w:p>
        </w:tc>
        <w:tc>
          <w:tcPr>
            <w:tcW w:w="620" w:type="pct"/>
            <w:tcBorders>
              <w:top w:val="single" w:sz="4" w:space="0" w:color="305698"/>
              <w:bottom w:val="single" w:sz="4" w:space="0" w:color="305698"/>
            </w:tcBorders>
            <w:shd w:val="clear" w:color="auto" w:fill="CEDBF0"/>
            <w:noWrap/>
            <w:vAlign w:val="center"/>
            <w:hideMark/>
          </w:tcPr>
          <w:p w14:paraId="127DC993" w14:textId="77777777" w:rsidR="008D701D" w:rsidRPr="00A710CE" w:rsidRDefault="008D701D" w:rsidP="00D77ADB">
            <w:pPr>
              <w:spacing w:line="240" w:lineRule="auto"/>
              <w:jc w:val="right"/>
              <w:rPr>
                <w:rFonts w:ascii="Calibri" w:hAnsi="Calibri" w:cs="Calibri"/>
                <w:sz w:val="22"/>
                <w:szCs w:val="22"/>
              </w:rPr>
            </w:pPr>
            <w:r w:rsidRPr="00A710CE">
              <w:rPr>
                <w:rFonts w:ascii="Calibri" w:hAnsi="Calibri" w:cs="Calibri"/>
                <w:sz w:val="22"/>
                <w:szCs w:val="22"/>
              </w:rPr>
              <w:t>52,5</w:t>
            </w:r>
          </w:p>
        </w:tc>
        <w:tc>
          <w:tcPr>
            <w:tcW w:w="619" w:type="pct"/>
            <w:tcBorders>
              <w:top w:val="single" w:sz="4" w:space="0" w:color="305698"/>
              <w:bottom w:val="single" w:sz="4" w:space="0" w:color="305698"/>
            </w:tcBorders>
            <w:shd w:val="clear" w:color="auto" w:fill="CEDBF0"/>
            <w:noWrap/>
            <w:vAlign w:val="center"/>
            <w:hideMark/>
          </w:tcPr>
          <w:p w14:paraId="7EAAC2B9" w14:textId="77777777" w:rsidR="008D701D" w:rsidRPr="00A710CE" w:rsidRDefault="008D701D" w:rsidP="00D77ADB">
            <w:pPr>
              <w:spacing w:line="240" w:lineRule="auto"/>
              <w:jc w:val="right"/>
              <w:rPr>
                <w:rFonts w:ascii="Calibri" w:hAnsi="Calibri" w:cs="Calibri"/>
                <w:sz w:val="22"/>
                <w:szCs w:val="22"/>
              </w:rPr>
            </w:pPr>
            <w:r w:rsidRPr="00A710CE">
              <w:rPr>
                <w:rFonts w:ascii="Calibri" w:hAnsi="Calibri" w:cs="Calibri"/>
                <w:sz w:val="22"/>
                <w:szCs w:val="22"/>
              </w:rPr>
              <w:t>54,2</w:t>
            </w:r>
          </w:p>
        </w:tc>
      </w:tr>
      <w:tr w:rsidR="008D701D" w:rsidRPr="00A710CE" w14:paraId="03BCA828" w14:textId="77777777" w:rsidTr="004344E7">
        <w:trPr>
          <w:trHeight w:val="300"/>
        </w:trPr>
        <w:tc>
          <w:tcPr>
            <w:tcW w:w="1901" w:type="pct"/>
            <w:tcBorders>
              <w:top w:val="single" w:sz="4" w:space="0" w:color="305698"/>
              <w:bottom w:val="single" w:sz="4" w:space="0" w:color="305698"/>
            </w:tcBorders>
            <w:shd w:val="clear" w:color="auto" w:fill="FFFFFF" w:themeFill="background1"/>
            <w:noWrap/>
            <w:hideMark/>
          </w:tcPr>
          <w:p w14:paraId="45E10961" w14:textId="77777777" w:rsidR="008D701D" w:rsidRPr="00A710CE" w:rsidRDefault="008D701D" w:rsidP="00E51DC2">
            <w:pPr>
              <w:spacing w:line="240" w:lineRule="auto"/>
              <w:rPr>
                <w:rFonts w:ascii="Calibri" w:hAnsi="Calibri" w:cs="Calibri"/>
                <w:b/>
                <w:bCs/>
                <w:sz w:val="22"/>
                <w:szCs w:val="22"/>
              </w:rPr>
            </w:pPr>
            <w:r w:rsidRPr="00A710CE">
              <w:rPr>
                <w:rFonts w:ascii="Calibri" w:hAnsi="Calibri" w:cs="Calibri"/>
                <w:b/>
                <w:bCs/>
                <w:sz w:val="22"/>
                <w:szCs w:val="22"/>
              </w:rPr>
              <w:t>Merudgifter i forhold til 2021</w:t>
            </w:r>
          </w:p>
        </w:tc>
        <w:tc>
          <w:tcPr>
            <w:tcW w:w="620" w:type="pct"/>
            <w:tcBorders>
              <w:top w:val="single" w:sz="4" w:space="0" w:color="305698"/>
              <w:bottom w:val="single" w:sz="4" w:space="0" w:color="305698"/>
            </w:tcBorders>
            <w:shd w:val="clear" w:color="auto" w:fill="FFFFFF" w:themeFill="background1"/>
            <w:noWrap/>
            <w:vAlign w:val="center"/>
            <w:hideMark/>
          </w:tcPr>
          <w:p w14:paraId="6531AAC6" w14:textId="77777777" w:rsidR="008D701D" w:rsidRPr="00A710CE" w:rsidRDefault="008D701D" w:rsidP="00D77ADB">
            <w:pPr>
              <w:spacing w:line="240" w:lineRule="auto"/>
              <w:jc w:val="right"/>
              <w:rPr>
                <w:rFonts w:ascii="Calibri" w:hAnsi="Calibri" w:cs="Calibri"/>
                <w:b/>
                <w:bCs/>
                <w:sz w:val="22"/>
                <w:szCs w:val="22"/>
              </w:rPr>
            </w:pPr>
            <w:r w:rsidRPr="00A710CE">
              <w:rPr>
                <w:rFonts w:ascii="Calibri" w:hAnsi="Calibri" w:cs="Calibri"/>
                <w:b/>
                <w:bCs/>
                <w:sz w:val="22"/>
                <w:szCs w:val="22"/>
              </w:rPr>
              <w:t>0,0</w:t>
            </w:r>
          </w:p>
        </w:tc>
        <w:tc>
          <w:tcPr>
            <w:tcW w:w="620" w:type="pct"/>
            <w:tcBorders>
              <w:top w:val="single" w:sz="4" w:space="0" w:color="305698"/>
              <w:bottom w:val="single" w:sz="4" w:space="0" w:color="305698"/>
            </w:tcBorders>
            <w:shd w:val="clear" w:color="auto" w:fill="FFFFFF" w:themeFill="background1"/>
            <w:noWrap/>
            <w:vAlign w:val="center"/>
            <w:hideMark/>
          </w:tcPr>
          <w:p w14:paraId="3D715448" w14:textId="77777777" w:rsidR="008D701D" w:rsidRPr="00A710CE" w:rsidRDefault="008D701D" w:rsidP="00D77ADB">
            <w:pPr>
              <w:spacing w:line="240" w:lineRule="auto"/>
              <w:jc w:val="right"/>
              <w:rPr>
                <w:rFonts w:ascii="Calibri" w:hAnsi="Calibri" w:cs="Calibri"/>
                <w:b/>
                <w:bCs/>
                <w:sz w:val="22"/>
                <w:szCs w:val="22"/>
              </w:rPr>
            </w:pPr>
            <w:r w:rsidRPr="00A710CE">
              <w:rPr>
                <w:rFonts w:ascii="Calibri" w:hAnsi="Calibri" w:cs="Calibri"/>
                <w:b/>
                <w:bCs/>
                <w:sz w:val="22"/>
                <w:szCs w:val="22"/>
              </w:rPr>
              <w:t>1,4</w:t>
            </w:r>
          </w:p>
        </w:tc>
        <w:tc>
          <w:tcPr>
            <w:tcW w:w="620" w:type="pct"/>
            <w:tcBorders>
              <w:top w:val="single" w:sz="4" w:space="0" w:color="305698"/>
              <w:bottom w:val="single" w:sz="4" w:space="0" w:color="305698"/>
            </w:tcBorders>
            <w:shd w:val="clear" w:color="auto" w:fill="FFFFFF" w:themeFill="background1"/>
            <w:noWrap/>
            <w:vAlign w:val="center"/>
            <w:hideMark/>
          </w:tcPr>
          <w:p w14:paraId="3FBB2CA4" w14:textId="77777777" w:rsidR="008D701D" w:rsidRPr="00A710CE" w:rsidRDefault="008D701D" w:rsidP="00D77ADB">
            <w:pPr>
              <w:spacing w:line="240" w:lineRule="auto"/>
              <w:jc w:val="right"/>
              <w:rPr>
                <w:rFonts w:ascii="Calibri" w:hAnsi="Calibri" w:cs="Calibri"/>
                <w:b/>
                <w:bCs/>
                <w:sz w:val="22"/>
                <w:szCs w:val="22"/>
              </w:rPr>
            </w:pPr>
            <w:r w:rsidRPr="00A710CE">
              <w:rPr>
                <w:rFonts w:ascii="Calibri" w:hAnsi="Calibri" w:cs="Calibri"/>
                <w:b/>
                <w:bCs/>
                <w:sz w:val="22"/>
                <w:szCs w:val="22"/>
              </w:rPr>
              <w:t>3,0</w:t>
            </w:r>
          </w:p>
        </w:tc>
        <w:tc>
          <w:tcPr>
            <w:tcW w:w="620" w:type="pct"/>
            <w:tcBorders>
              <w:top w:val="single" w:sz="4" w:space="0" w:color="305698"/>
              <w:bottom w:val="single" w:sz="4" w:space="0" w:color="305698"/>
            </w:tcBorders>
            <w:shd w:val="clear" w:color="auto" w:fill="FFFFFF" w:themeFill="background1"/>
            <w:noWrap/>
            <w:vAlign w:val="center"/>
            <w:hideMark/>
          </w:tcPr>
          <w:p w14:paraId="0AAC6B4B" w14:textId="77777777" w:rsidR="008D701D" w:rsidRPr="00A710CE" w:rsidRDefault="008D701D" w:rsidP="00D77ADB">
            <w:pPr>
              <w:spacing w:line="240" w:lineRule="auto"/>
              <w:jc w:val="right"/>
              <w:rPr>
                <w:rFonts w:ascii="Calibri" w:hAnsi="Calibri" w:cs="Calibri"/>
                <w:b/>
                <w:bCs/>
                <w:sz w:val="22"/>
                <w:szCs w:val="22"/>
              </w:rPr>
            </w:pPr>
            <w:r w:rsidRPr="00A710CE">
              <w:rPr>
                <w:rFonts w:ascii="Calibri" w:hAnsi="Calibri" w:cs="Calibri"/>
                <w:b/>
                <w:bCs/>
                <w:sz w:val="22"/>
                <w:szCs w:val="22"/>
              </w:rPr>
              <w:t>4,6</w:t>
            </w:r>
          </w:p>
        </w:tc>
        <w:tc>
          <w:tcPr>
            <w:tcW w:w="619" w:type="pct"/>
            <w:tcBorders>
              <w:top w:val="single" w:sz="4" w:space="0" w:color="305698"/>
              <w:bottom w:val="single" w:sz="4" w:space="0" w:color="305698"/>
            </w:tcBorders>
            <w:shd w:val="clear" w:color="auto" w:fill="FFFFFF" w:themeFill="background1"/>
            <w:noWrap/>
            <w:vAlign w:val="center"/>
            <w:hideMark/>
          </w:tcPr>
          <w:p w14:paraId="139CDC50" w14:textId="77777777" w:rsidR="008D701D" w:rsidRPr="00A710CE" w:rsidRDefault="008D701D" w:rsidP="00D77ADB">
            <w:pPr>
              <w:spacing w:line="240" w:lineRule="auto"/>
              <w:jc w:val="right"/>
              <w:rPr>
                <w:rFonts w:ascii="Calibri" w:hAnsi="Calibri" w:cs="Calibri"/>
                <w:b/>
                <w:bCs/>
                <w:sz w:val="22"/>
                <w:szCs w:val="22"/>
              </w:rPr>
            </w:pPr>
            <w:r w:rsidRPr="00A710CE">
              <w:rPr>
                <w:rFonts w:ascii="Calibri" w:hAnsi="Calibri" w:cs="Calibri"/>
                <w:b/>
                <w:bCs/>
                <w:sz w:val="22"/>
                <w:szCs w:val="22"/>
              </w:rPr>
              <w:t>6,4</w:t>
            </w:r>
          </w:p>
        </w:tc>
      </w:tr>
    </w:tbl>
    <w:p w14:paraId="2FA161E8" w14:textId="77777777" w:rsidR="004344E7" w:rsidRDefault="004344E7" w:rsidP="004344E7">
      <w:pPr>
        <w:autoSpaceDE/>
        <w:autoSpaceDN/>
        <w:adjustRightInd/>
        <w:spacing w:line="240" w:lineRule="auto"/>
        <w:textAlignment w:val="auto"/>
        <w:rPr>
          <w:rFonts w:ascii="Calibri" w:hAnsi="Calibri" w:cs="Calibri"/>
        </w:rPr>
      </w:pPr>
      <w:r w:rsidRPr="00A710CE">
        <w:rPr>
          <w:rFonts w:ascii="Calibri" w:hAnsi="Calibri" w:cs="Calibri"/>
        </w:rPr>
        <w:t>Kilde</w:t>
      </w:r>
      <w:r>
        <w:rPr>
          <w:rFonts w:ascii="Calibri" w:hAnsi="Calibri" w:cs="Calibri"/>
        </w:rPr>
        <w:t xml:space="preserve">: Statistikbanken; BUDK32 og egne beregninger. </w:t>
      </w:r>
    </w:p>
    <w:p w14:paraId="7C611871" w14:textId="79FDA31B" w:rsidR="00885AA1" w:rsidRPr="00DA122D" w:rsidRDefault="00DA122D">
      <w:pPr>
        <w:autoSpaceDE/>
        <w:autoSpaceDN/>
        <w:adjustRightInd/>
        <w:spacing w:line="240" w:lineRule="auto"/>
        <w:textAlignment w:val="auto"/>
        <w:rPr>
          <w:rFonts w:ascii="Calibri" w:hAnsi="Calibri" w:cs="Calibri"/>
        </w:rPr>
      </w:pPr>
      <w:r w:rsidRPr="00DA122D">
        <w:rPr>
          <w:rFonts w:ascii="Calibri" w:hAnsi="Calibri" w:cs="Calibri"/>
        </w:rPr>
        <w:t>Note: Se note II f</w:t>
      </w:r>
      <w:r w:rsidRPr="00A6369C">
        <w:rPr>
          <w:rFonts w:ascii="Calibri" w:hAnsi="Calibri" w:cs="Calibri"/>
        </w:rPr>
        <w:t>ra</w:t>
      </w:r>
      <w:r>
        <w:rPr>
          <w:rFonts w:ascii="Calibri" w:hAnsi="Calibri" w:cs="Calibri"/>
        </w:rPr>
        <w:t xml:space="preserve"> tabel 1.</w:t>
      </w:r>
    </w:p>
    <w:p w14:paraId="22FA3618" w14:textId="77777777" w:rsidR="00885AA1" w:rsidRPr="00A429DE" w:rsidRDefault="00885AA1">
      <w:pPr>
        <w:autoSpaceDE/>
        <w:autoSpaceDN/>
        <w:adjustRightInd/>
        <w:spacing w:line="240" w:lineRule="auto"/>
        <w:textAlignment w:val="auto"/>
        <w:rPr>
          <w:rFonts w:ascii="Calibri" w:hAnsi="Calibri" w:cs="Calibri"/>
        </w:rPr>
      </w:pPr>
    </w:p>
    <w:p w14:paraId="5615EC46" w14:textId="77777777" w:rsidR="00885AA1" w:rsidRPr="00DA122D" w:rsidRDefault="00885AA1">
      <w:pPr>
        <w:autoSpaceDE/>
        <w:autoSpaceDN/>
        <w:adjustRightInd/>
        <w:spacing w:line="240" w:lineRule="auto"/>
        <w:textAlignment w:val="auto"/>
        <w:rPr>
          <w:rFonts w:ascii="Calibri" w:hAnsi="Calibri" w:cs="Calibri"/>
        </w:rPr>
      </w:pPr>
    </w:p>
    <w:p w14:paraId="4610372B" w14:textId="77777777" w:rsidR="00885AA1" w:rsidRPr="00DA122D" w:rsidRDefault="00885AA1">
      <w:pPr>
        <w:autoSpaceDE/>
        <w:autoSpaceDN/>
        <w:adjustRightInd/>
        <w:spacing w:line="240" w:lineRule="auto"/>
        <w:textAlignment w:val="auto"/>
        <w:rPr>
          <w:rFonts w:ascii="Calibri" w:hAnsi="Calibri" w:cs="Calibri"/>
        </w:rPr>
        <w:sectPr w:rsidR="00885AA1" w:rsidRPr="00DA122D" w:rsidSect="008D701D">
          <w:pgSz w:w="16840" w:h="11901" w:orient="landscape" w:code="9"/>
          <w:pgMar w:top="1247" w:right="1701" w:bottom="1758" w:left="1418" w:header="567" w:footer="567" w:gutter="0"/>
          <w:cols w:space="708"/>
          <w:titlePg/>
          <w:docGrid w:linePitch="360"/>
        </w:sectPr>
      </w:pPr>
    </w:p>
    <w:p w14:paraId="057D0AAA" w14:textId="2AA7D766" w:rsidR="00885AA1" w:rsidRPr="00DA122D" w:rsidRDefault="00885AA1">
      <w:pPr>
        <w:autoSpaceDE/>
        <w:autoSpaceDN/>
        <w:adjustRightInd/>
        <w:spacing w:line="240" w:lineRule="auto"/>
        <w:textAlignment w:val="auto"/>
        <w:rPr>
          <w:rFonts w:ascii="Calibri" w:hAnsi="Calibri" w:cs="Calibri"/>
        </w:rPr>
      </w:pPr>
    </w:p>
    <w:p w14:paraId="0521A415" w14:textId="76A067B5" w:rsidR="00885AA1" w:rsidRPr="00DA122D" w:rsidRDefault="00885AA1">
      <w:pPr>
        <w:autoSpaceDE/>
        <w:autoSpaceDN/>
        <w:adjustRightInd/>
        <w:spacing w:line="240" w:lineRule="auto"/>
        <w:textAlignment w:val="auto"/>
        <w:rPr>
          <w:rFonts w:ascii="Calibri" w:hAnsi="Calibri" w:cs="Calibri"/>
        </w:rPr>
      </w:pPr>
    </w:p>
    <w:p w14:paraId="02B77FCC" w14:textId="77777777" w:rsidR="00885AA1" w:rsidRPr="00DA122D" w:rsidRDefault="00885AA1">
      <w:pPr>
        <w:autoSpaceDE/>
        <w:autoSpaceDN/>
        <w:adjustRightInd/>
        <w:spacing w:line="240" w:lineRule="auto"/>
        <w:textAlignment w:val="auto"/>
        <w:rPr>
          <w:rFonts w:ascii="Calibri" w:hAnsi="Calibri" w:cs="Calibri"/>
        </w:rPr>
      </w:pPr>
    </w:p>
    <w:tbl>
      <w:tblPr>
        <w:tblW w:w="5000" w:type="pct"/>
        <w:tblCellMar>
          <w:left w:w="70" w:type="dxa"/>
          <w:right w:w="70" w:type="dxa"/>
        </w:tblCellMar>
        <w:tblLook w:val="04A0" w:firstRow="1" w:lastRow="0" w:firstColumn="1" w:lastColumn="0" w:noHBand="0" w:noVBand="1"/>
      </w:tblPr>
      <w:tblGrid>
        <w:gridCol w:w="2726"/>
        <w:gridCol w:w="3062"/>
        <w:gridCol w:w="3103"/>
      </w:tblGrid>
      <w:tr w:rsidR="00885AA1" w:rsidRPr="00A710CE" w14:paraId="274C4FA1" w14:textId="77777777" w:rsidTr="00081091">
        <w:trPr>
          <w:trHeight w:val="362"/>
        </w:trPr>
        <w:tc>
          <w:tcPr>
            <w:tcW w:w="5000" w:type="pct"/>
            <w:gridSpan w:val="3"/>
            <w:tcBorders>
              <w:top w:val="single" w:sz="4" w:space="0" w:color="CEDBF0"/>
              <w:left w:val="single" w:sz="4" w:space="0" w:color="CEDBF0"/>
              <w:bottom w:val="single" w:sz="4" w:space="0" w:color="305698"/>
              <w:right w:val="nil"/>
            </w:tcBorders>
            <w:shd w:val="clear" w:color="auto" w:fill="305698"/>
            <w:noWrap/>
            <w:vAlign w:val="bottom"/>
          </w:tcPr>
          <w:p w14:paraId="602C8738" w14:textId="4549158F" w:rsidR="00885AA1" w:rsidRPr="00A710CE" w:rsidRDefault="00885AA1" w:rsidP="00885AA1">
            <w:pPr>
              <w:autoSpaceDE/>
              <w:autoSpaceDN/>
              <w:adjustRightInd/>
              <w:spacing w:line="240" w:lineRule="auto"/>
              <w:textAlignment w:val="auto"/>
              <w:rPr>
                <w:rFonts w:ascii="Calibri" w:hAnsi="Calibri" w:cs="Calibri"/>
                <w:b/>
                <w:bCs/>
                <w:color w:val="FFFFFF" w:themeColor="background1"/>
                <w:sz w:val="22"/>
                <w:szCs w:val="22"/>
              </w:rPr>
            </w:pPr>
            <w:r w:rsidRPr="00A710CE">
              <w:rPr>
                <w:rFonts w:ascii="Calibri" w:hAnsi="Calibri" w:cs="Calibri"/>
                <w:b/>
                <w:bCs/>
                <w:color w:val="FFFFFF" w:themeColor="background1"/>
                <w:sz w:val="22"/>
                <w:szCs w:val="22"/>
              </w:rPr>
              <w:t xml:space="preserve">Tabel 3. Kommunernes ældreudgifter i 2021 samt den nødvendige </w:t>
            </w:r>
            <w:r w:rsidR="00BC6D41">
              <w:rPr>
                <w:rFonts w:ascii="Calibri" w:hAnsi="Calibri" w:cs="Calibri"/>
                <w:b/>
                <w:bCs/>
                <w:color w:val="FFFFFF" w:themeColor="background1"/>
                <w:sz w:val="22"/>
                <w:szCs w:val="22"/>
              </w:rPr>
              <w:t>tilføjelse af ekstra midler i 2022</w:t>
            </w:r>
            <w:r w:rsidRPr="00A710CE">
              <w:rPr>
                <w:rFonts w:ascii="Calibri" w:hAnsi="Calibri" w:cs="Calibri"/>
                <w:b/>
                <w:bCs/>
                <w:color w:val="FFFFFF" w:themeColor="background1"/>
                <w:sz w:val="22"/>
                <w:szCs w:val="22"/>
              </w:rPr>
              <w:t xml:space="preserve"> for at imødekomme det demografiske træk</w:t>
            </w:r>
          </w:p>
        </w:tc>
      </w:tr>
      <w:tr w:rsidR="00081091" w:rsidRPr="00A710CE" w14:paraId="2B273AFF" w14:textId="77777777" w:rsidTr="001F43C9">
        <w:trPr>
          <w:trHeight w:val="892"/>
        </w:trPr>
        <w:tc>
          <w:tcPr>
            <w:tcW w:w="1531" w:type="pct"/>
            <w:tcBorders>
              <w:top w:val="single" w:sz="4" w:space="0" w:color="305698"/>
              <w:bottom w:val="single" w:sz="4" w:space="0" w:color="305698"/>
              <w:right w:val="nil"/>
            </w:tcBorders>
            <w:shd w:val="clear" w:color="auto" w:fill="auto"/>
            <w:noWrap/>
            <w:vAlign w:val="bottom"/>
            <w:hideMark/>
          </w:tcPr>
          <w:p w14:paraId="0E067C4E" w14:textId="77777777" w:rsidR="00885AA1" w:rsidRPr="00A710CE" w:rsidRDefault="00885AA1" w:rsidP="00885AA1">
            <w:pPr>
              <w:autoSpaceDE/>
              <w:autoSpaceDN/>
              <w:adjustRightInd/>
              <w:spacing w:line="240" w:lineRule="auto"/>
              <w:textAlignment w:val="auto"/>
              <w:rPr>
                <w:rFonts w:ascii="Calibri" w:hAnsi="Calibri" w:cs="Calibri"/>
                <w:sz w:val="22"/>
                <w:szCs w:val="22"/>
              </w:rPr>
            </w:pPr>
            <w:r w:rsidRPr="00A710CE">
              <w:rPr>
                <w:rFonts w:ascii="Calibri" w:hAnsi="Calibri" w:cs="Calibri"/>
                <w:sz w:val="22"/>
                <w:szCs w:val="22"/>
              </w:rPr>
              <w:t> </w:t>
            </w:r>
          </w:p>
        </w:tc>
        <w:tc>
          <w:tcPr>
            <w:tcW w:w="1723" w:type="pct"/>
            <w:tcBorders>
              <w:top w:val="single" w:sz="4" w:space="0" w:color="305698"/>
              <w:left w:val="nil"/>
              <w:bottom w:val="single" w:sz="4" w:space="0" w:color="305698"/>
              <w:right w:val="nil"/>
            </w:tcBorders>
            <w:shd w:val="clear" w:color="auto" w:fill="auto"/>
            <w:vAlign w:val="bottom"/>
            <w:hideMark/>
          </w:tcPr>
          <w:p w14:paraId="29DB67B9"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Samlede ældreudgifter, 2021</w:t>
            </w:r>
          </w:p>
        </w:tc>
        <w:tc>
          <w:tcPr>
            <w:tcW w:w="1746" w:type="pct"/>
            <w:tcBorders>
              <w:top w:val="single" w:sz="4" w:space="0" w:color="305698"/>
              <w:left w:val="nil"/>
              <w:bottom w:val="single" w:sz="4" w:space="0" w:color="305698"/>
              <w:right w:val="nil"/>
            </w:tcBorders>
            <w:shd w:val="clear" w:color="auto" w:fill="auto"/>
            <w:vAlign w:val="bottom"/>
            <w:hideMark/>
          </w:tcPr>
          <w:p w14:paraId="6126DE33" w14:textId="62E4C90A" w:rsidR="00885AA1" w:rsidRPr="00A710CE" w:rsidRDefault="00BC6D41" w:rsidP="00885AA1">
            <w:pPr>
              <w:autoSpaceDE/>
              <w:autoSpaceDN/>
              <w:adjustRightInd/>
              <w:spacing w:line="240" w:lineRule="auto"/>
              <w:textAlignment w:val="auto"/>
              <w:rPr>
                <w:rFonts w:ascii="Calibri" w:hAnsi="Calibri" w:cs="Calibri"/>
                <w:b/>
                <w:bCs/>
                <w:sz w:val="22"/>
                <w:szCs w:val="22"/>
              </w:rPr>
            </w:pPr>
            <w:r>
              <w:rPr>
                <w:rFonts w:ascii="Calibri" w:hAnsi="Calibri" w:cs="Calibri"/>
                <w:b/>
                <w:bCs/>
                <w:sz w:val="22"/>
                <w:szCs w:val="22"/>
              </w:rPr>
              <w:t>Tilføjelse af midler i 2022 til</w:t>
            </w:r>
            <w:r w:rsidR="00885AA1" w:rsidRPr="00A710CE">
              <w:rPr>
                <w:rFonts w:ascii="Calibri" w:hAnsi="Calibri" w:cs="Calibri"/>
                <w:b/>
                <w:bCs/>
                <w:sz w:val="22"/>
                <w:szCs w:val="22"/>
              </w:rPr>
              <w:t xml:space="preserve"> de samlede ældreudgifter, som gør op for</w:t>
            </w:r>
            <w:r>
              <w:rPr>
                <w:rFonts w:ascii="Calibri" w:hAnsi="Calibri" w:cs="Calibri"/>
                <w:b/>
                <w:bCs/>
                <w:sz w:val="22"/>
                <w:szCs w:val="22"/>
              </w:rPr>
              <w:t xml:space="preserve"> den</w:t>
            </w:r>
            <w:r w:rsidR="00885AA1" w:rsidRPr="00A710CE">
              <w:rPr>
                <w:rFonts w:ascii="Calibri" w:hAnsi="Calibri" w:cs="Calibri"/>
                <w:b/>
                <w:bCs/>
                <w:sz w:val="22"/>
                <w:szCs w:val="22"/>
              </w:rPr>
              <w:t xml:space="preserve"> demografisk</w:t>
            </w:r>
            <w:r>
              <w:rPr>
                <w:rFonts w:ascii="Calibri" w:hAnsi="Calibri" w:cs="Calibri"/>
                <w:b/>
                <w:bCs/>
                <w:sz w:val="22"/>
                <w:szCs w:val="22"/>
              </w:rPr>
              <w:t>e</w:t>
            </w:r>
            <w:r w:rsidR="00885AA1" w:rsidRPr="00A710CE">
              <w:rPr>
                <w:rFonts w:ascii="Calibri" w:hAnsi="Calibri" w:cs="Calibri"/>
                <w:b/>
                <w:bCs/>
                <w:sz w:val="22"/>
                <w:szCs w:val="22"/>
              </w:rPr>
              <w:t xml:space="preserve"> vækst</w:t>
            </w:r>
          </w:p>
        </w:tc>
      </w:tr>
      <w:tr w:rsidR="00885AA1" w:rsidRPr="00A710CE" w14:paraId="07DAFEAD" w14:textId="77777777" w:rsidTr="001F43C9">
        <w:trPr>
          <w:trHeight w:val="300"/>
        </w:trPr>
        <w:tc>
          <w:tcPr>
            <w:tcW w:w="1531" w:type="pct"/>
            <w:tcBorders>
              <w:top w:val="single" w:sz="4" w:space="0" w:color="305698"/>
              <w:left w:val="nil"/>
              <w:bottom w:val="single" w:sz="4" w:space="0" w:color="305698"/>
              <w:right w:val="nil"/>
            </w:tcBorders>
            <w:shd w:val="clear" w:color="auto" w:fill="auto"/>
            <w:noWrap/>
            <w:vAlign w:val="bottom"/>
            <w:hideMark/>
          </w:tcPr>
          <w:p w14:paraId="1B0F14C4"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p>
        </w:tc>
        <w:tc>
          <w:tcPr>
            <w:tcW w:w="3469" w:type="pct"/>
            <w:gridSpan w:val="2"/>
            <w:tcBorders>
              <w:top w:val="single" w:sz="4" w:space="0" w:color="305698"/>
              <w:left w:val="nil"/>
              <w:bottom w:val="single" w:sz="4" w:space="0" w:color="305698"/>
              <w:right w:val="nil"/>
            </w:tcBorders>
            <w:shd w:val="clear" w:color="auto" w:fill="auto"/>
            <w:vAlign w:val="bottom"/>
            <w:hideMark/>
          </w:tcPr>
          <w:p w14:paraId="2C9C6BA9" w14:textId="77777777" w:rsidR="00885AA1" w:rsidRPr="00A710CE" w:rsidRDefault="00885AA1" w:rsidP="00885AA1">
            <w:pPr>
              <w:autoSpaceDE/>
              <w:autoSpaceDN/>
              <w:adjustRightInd/>
              <w:spacing w:line="240" w:lineRule="auto"/>
              <w:jc w:val="center"/>
              <w:textAlignment w:val="auto"/>
              <w:rPr>
                <w:rFonts w:ascii="Calibri" w:hAnsi="Calibri" w:cs="Calibri"/>
                <w:b/>
                <w:bCs/>
                <w:sz w:val="22"/>
                <w:szCs w:val="22"/>
              </w:rPr>
            </w:pPr>
            <w:r w:rsidRPr="00A710CE">
              <w:rPr>
                <w:rFonts w:ascii="Calibri" w:hAnsi="Calibri" w:cs="Calibri"/>
                <w:b/>
                <w:bCs/>
                <w:sz w:val="22"/>
                <w:szCs w:val="22"/>
              </w:rPr>
              <w:t>Mio. kr.</w:t>
            </w:r>
          </w:p>
        </w:tc>
      </w:tr>
      <w:tr w:rsidR="00885AA1" w:rsidRPr="00A710CE" w14:paraId="41DD29E5" w14:textId="77777777" w:rsidTr="001F43C9">
        <w:trPr>
          <w:trHeight w:val="300"/>
        </w:trPr>
        <w:tc>
          <w:tcPr>
            <w:tcW w:w="1531" w:type="pct"/>
            <w:tcBorders>
              <w:top w:val="single" w:sz="4" w:space="0" w:color="305698"/>
              <w:left w:val="nil"/>
              <w:bottom w:val="nil"/>
              <w:right w:val="nil"/>
            </w:tcBorders>
            <w:shd w:val="clear" w:color="000000" w:fill="CEDBF0"/>
            <w:noWrap/>
            <w:vAlign w:val="bottom"/>
            <w:hideMark/>
          </w:tcPr>
          <w:p w14:paraId="7768E2E0"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Albertslund</w:t>
            </w:r>
          </w:p>
        </w:tc>
        <w:tc>
          <w:tcPr>
            <w:tcW w:w="1723" w:type="pct"/>
            <w:tcBorders>
              <w:top w:val="single" w:sz="4" w:space="0" w:color="305698"/>
              <w:left w:val="nil"/>
              <w:bottom w:val="nil"/>
              <w:right w:val="nil"/>
            </w:tcBorders>
            <w:shd w:val="clear" w:color="000000" w:fill="CEDBF0"/>
            <w:noWrap/>
            <w:vAlign w:val="bottom"/>
            <w:hideMark/>
          </w:tcPr>
          <w:p w14:paraId="0DD495C7" w14:textId="6461B353" w:rsidR="00885AA1" w:rsidRPr="00A710CE" w:rsidRDefault="0008109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w:t>
            </w:r>
            <w:r w:rsidR="00885AA1" w:rsidRPr="00A710CE">
              <w:rPr>
                <w:rFonts w:ascii="Calibri" w:hAnsi="Calibri" w:cs="Calibri"/>
                <w:sz w:val="22"/>
                <w:szCs w:val="22"/>
              </w:rPr>
              <w:t>243,1</w:t>
            </w:r>
          </w:p>
        </w:tc>
        <w:tc>
          <w:tcPr>
            <w:tcW w:w="1746" w:type="pct"/>
            <w:tcBorders>
              <w:top w:val="single" w:sz="4" w:space="0" w:color="305698"/>
              <w:left w:val="nil"/>
              <w:bottom w:val="nil"/>
              <w:right w:val="nil"/>
            </w:tcBorders>
            <w:shd w:val="clear" w:color="000000" w:fill="CEDBF0"/>
            <w:noWrap/>
            <w:vAlign w:val="bottom"/>
            <w:hideMark/>
          </w:tcPr>
          <w:p w14:paraId="2F82A413"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9,5 </w:t>
            </w:r>
          </w:p>
        </w:tc>
      </w:tr>
      <w:tr w:rsidR="00885AA1" w:rsidRPr="00A710CE" w14:paraId="7C4D9CC0" w14:textId="77777777" w:rsidTr="001F43C9">
        <w:trPr>
          <w:trHeight w:val="300"/>
        </w:trPr>
        <w:tc>
          <w:tcPr>
            <w:tcW w:w="1531" w:type="pct"/>
            <w:tcBorders>
              <w:top w:val="nil"/>
              <w:left w:val="nil"/>
              <w:bottom w:val="nil"/>
              <w:right w:val="nil"/>
            </w:tcBorders>
            <w:shd w:val="clear" w:color="auto" w:fill="auto"/>
            <w:noWrap/>
            <w:vAlign w:val="bottom"/>
            <w:hideMark/>
          </w:tcPr>
          <w:p w14:paraId="5C9D0A7C"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Allerød</w:t>
            </w:r>
          </w:p>
        </w:tc>
        <w:tc>
          <w:tcPr>
            <w:tcW w:w="1723" w:type="pct"/>
            <w:tcBorders>
              <w:top w:val="nil"/>
              <w:left w:val="nil"/>
              <w:bottom w:val="nil"/>
              <w:right w:val="nil"/>
            </w:tcBorders>
            <w:shd w:val="clear" w:color="auto" w:fill="auto"/>
            <w:noWrap/>
            <w:vAlign w:val="bottom"/>
            <w:hideMark/>
          </w:tcPr>
          <w:p w14:paraId="0FA81E2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217,3 </w:t>
            </w:r>
          </w:p>
        </w:tc>
        <w:tc>
          <w:tcPr>
            <w:tcW w:w="1746" w:type="pct"/>
            <w:tcBorders>
              <w:top w:val="nil"/>
              <w:left w:val="nil"/>
              <w:bottom w:val="nil"/>
              <w:right w:val="nil"/>
            </w:tcBorders>
            <w:shd w:val="clear" w:color="auto" w:fill="auto"/>
            <w:noWrap/>
            <w:vAlign w:val="bottom"/>
            <w:hideMark/>
          </w:tcPr>
          <w:p w14:paraId="3F996F3F"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9,4 </w:t>
            </w:r>
          </w:p>
        </w:tc>
      </w:tr>
      <w:tr w:rsidR="00885AA1" w:rsidRPr="00A710CE" w14:paraId="728363A4" w14:textId="77777777" w:rsidTr="001F43C9">
        <w:trPr>
          <w:trHeight w:val="300"/>
        </w:trPr>
        <w:tc>
          <w:tcPr>
            <w:tcW w:w="1531" w:type="pct"/>
            <w:tcBorders>
              <w:top w:val="nil"/>
              <w:left w:val="nil"/>
              <w:bottom w:val="nil"/>
              <w:right w:val="nil"/>
            </w:tcBorders>
            <w:shd w:val="clear" w:color="000000" w:fill="CEDBF0"/>
            <w:noWrap/>
            <w:vAlign w:val="bottom"/>
            <w:hideMark/>
          </w:tcPr>
          <w:p w14:paraId="48835BEC"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Assens</w:t>
            </w:r>
          </w:p>
        </w:tc>
        <w:tc>
          <w:tcPr>
            <w:tcW w:w="1723" w:type="pct"/>
            <w:tcBorders>
              <w:top w:val="nil"/>
              <w:left w:val="nil"/>
              <w:bottom w:val="nil"/>
              <w:right w:val="nil"/>
            </w:tcBorders>
            <w:shd w:val="clear" w:color="000000" w:fill="CEDBF0"/>
            <w:noWrap/>
            <w:vAlign w:val="bottom"/>
            <w:hideMark/>
          </w:tcPr>
          <w:p w14:paraId="726A556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320,1 </w:t>
            </w:r>
          </w:p>
        </w:tc>
        <w:tc>
          <w:tcPr>
            <w:tcW w:w="1746" w:type="pct"/>
            <w:tcBorders>
              <w:top w:val="nil"/>
              <w:left w:val="nil"/>
              <w:bottom w:val="nil"/>
              <w:right w:val="nil"/>
            </w:tcBorders>
            <w:shd w:val="clear" w:color="000000" w:fill="CEDBF0"/>
            <w:noWrap/>
            <w:vAlign w:val="bottom"/>
            <w:hideMark/>
          </w:tcPr>
          <w:p w14:paraId="745B6D7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9,2 </w:t>
            </w:r>
          </w:p>
        </w:tc>
      </w:tr>
      <w:tr w:rsidR="00885AA1" w:rsidRPr="00A710CE" w14:paraId="2389B547" w14:textId="77777777" w:rsidTr="001F43C9">
        <w:trPr>
          <w:trHeight w:val="300"/>
        </w:trPr>
        <w:tc>
          <w:tcPr>
            <w:tcW w:w="1531" w:type="pct"/>
            <w:tcBorders>
              <w:top w:val="nil"/>
              <w:left w:val="nil"/>
              <w:bottom w:val="nil"/>
              <w:right w:val="nil"/>
            </w:tcBorders>
            <w:shd w:val="clear" w:color="auto" w:fill="auto"/>
            <w:noWrap/>
            <w:vAlign w:val="bottom"/>
            <w:hideMark/>
          </w:tcPr>
          <w:p w14:paraId="35927CB2"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Ballerup</w:t>
            </w:r>
          </w:p>
        </w:tc>
        <w:tc>
          <w:tcPr>
            <w:tcW w:w="1723" w:type="pct"/>
            <w:tcBorders>
              <w:top w:val="nil"/>
              <w:left w:val="nil"/>
              <w:bottom w:val="nil"/>
              <w:right w:val="nil"/>
            </w:tcBorders>
            <w:shd w:val="clear" w:color="auto" w:fill="auto"/>
            <w:noWrap/>
            <w:vAlign w:val="bottom"/>
            <w:hideMark/>
          </w:tcPr>
          <w:p w14:paraId="4FC684B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462,5 </w:t>
            </w:r>
          </w:p>
        </w:tc>
        <w:tc>
          <w:tcPr>
            <w:tcW w:w="1746" w:type="pct"/>
            <w:tcBorders>
              <w:top w:val="nil"/>
              <w:left w:val="nil"/>
              <w:bottom w:val="nil"/>
              <w:right w:val="nil"/>
            </w:tcBorders>
            <w:shd w:val="clear" w:color="auto" w:fill="auto"/>
            <w:noWrap/>
            <w:vAlign w:val="bottom"/>
            <w:hideMark/>
          </w:tcPr>
          <w:p w14:paraId="0DDE4856"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14,9 </w:t>
            </w:r>
          </w:p>
        </w:tc>
      </w:tr>
      <w:tr w:rsidR="00885AA1" w:rsidRPr="00A710CE" w14:paraId="3F5DEA4B" w14:textId="77777777" w:rsidTr="001F43C9">
        <w:trPr>
          <w:trHeight w:val="300"/>
        </w:trPr>
        <w:tc>
          <w:tcPr>
            <w:tcW w:w="1531" w:type="pct"/>
            <w:tcBorders>
              <w:top w:val="nil"/>
              <w:left w:val="nil"/>
              <w:bottom w:val="nil"/>
              <w:right w:val="nil"/>
            </w:tcBorders>
            <w:shd w:val="clear" w:color="000000" w:fill="CEDBF0"/>
            <w:noWrap/>
            <w:vAlign w:val="bottom"/>
            <w:hideMark/>
          </w:tcPr>
          <w:p w14:paraId="74FC3ACF"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Billund</w:t>
            </w:r>
          </w:p>
        </w:tc>
        <w:tc>
          <w:tcPr>
            <w:tcW w:w="1723" w:type="pct"/>
            <w:tcBorders>
              <w:top w:val="nil"/>
              <w:left w:val="nil"/>
              <w:bottom w:val="nil"/>
              <w:right w:val="nil"/>
            </w:tcBorders>
            <w:shd w:val="clear" w:color="000000" w:fill="CEDBF0"/>
            <w:noWrap/>
            <w:vAlign w:val="bottom"/>
            <w:hideMark/>
          </w:tcPr>
          <w:p w14:paraId="0B69051F"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251,7 </w:t>
            </w:r>
          </w:p>
        </w:tc>
        <w:tc>
          <w:tcPr>
            <w:tcW w:w="1746" w:type="pct"/>
            <w:tcBorders>
              <w:top w:val="nil"/>
              <w:left w:val="nil"/>
              <w:bottom w:val="nil"/>
              <w:right w:val="nil"/>
            </w:tcBorders>
            <w:shd w:val="clear" w:color="000000" w:fill="CEDBF0"/>
            <w:noWrap/>
            <w:vAlign w:val="bottom"/>
            <w:hideMark/>
          </w:tcPr>
          <w:p w14:paraId="56F63BB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7,1 </w:t>
            </w:r>
          </w:p>
        </w:tc>
      </w:tr>
      <w:tr w:rsidR="00885AA1" w:rsidRPr="00A710CE" w14:paraId="613C1E85" w14:textId="77777777" w:rsidTr="001F43C9">
        <w:trPr>
          <w:trHeight w:val="300"/>
        </w:trPr>
        <w:tc>
          <w:tcPr>
            <w:tcW w:w="1531" w:type="pct"/>
            <w:tcBorders>
              <w:top w:val="nil"/>
              <w:left w:val="nil"/>
              <w:bottom w:val="nil"/>
              <w:right w:val="nil"/>
            </w:tcBorders>
            <w:shd w:val="clear" w:color="auto" w:fill="auto"/>
            <w:noWrap/>
            <w:vAlign w:val="bottom"/>
            <w:hideMark/>
          </w:tcPr>
          <w:p w14:paraId="10F22108"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Bornholm</w:t>
            </w:r>
          </w:p>
        </w:tc>
        <w:tc>
          <w:tcPr>
            <w:tcW w:w="1723" w:type="pct"/>
            <w:tcBorders>
              <w:top w:val="nil"/>
              <w:left w:val="nil"/>
              <w:bottom w:val="nil"/>
              <w:right w:val="nil"/>
            </w:tcBorders>
            <w:shd w:val="clear" w:color="auto" w:fill="auto"/>
            <w:noWrap/>
            <w:vAlign w:val="bottom"/>
            <w:hideMark/>
          </w:tcPr>
          <w:p w14:paraId="33E9E4F5"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514,1 </w:t>
            </w:r>
          </w:p>
        </w:tc>
        <w:tc>
          <w:tcPr>
            <w:tcW w:w="1746" w:type="pct"/>
            <w:tcBorders>
              <w:top w:val="nil"/>
              <w:left w:val="nil"/>
              <w:bottom w:val="nil"/>
              <w:right w:val="nil"/>
            </w:tcBorders>
            <w:shd w:val="clear" w:color="auto" w:fill="auto"/>
            <w:noWrap/>
            <w:vAlign w:val="bottom"/>
            <w:hideMark/>
          </w:tcPr>
          <w:p w14:paraId="2F01558F"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12,1 </w:t>
            </w:r>
          </w:p>
        </w:tc>
      </w:tr>
      <w:tr w:rsidR="00885AA1" w:rsidRPr="00A710CE" w14:paraId="1907A023" w14:textId="77777777" w:rsidTr="001F43C9">
        <w:trPr>
          <w:trHeight w:val="300"/>
        </w:trPr>
        <w:tc>
          <w:tcPr>
            <w:tcW w:w="1531" w:type="pct"/>
            <w:tcBorders>
              <w:top w:val="nil"/>
              <w:left w:val="nil"/>
              <w:bottom w:val="nil"/>
              <w:right w:val="nil"/>
            </w:tcBorders>
            <w:shd w:val="clear" w:color="000000" w:fill="CEDBF0"/>
            <w:noWrap/>
            <w:vAlign w:val="bottom"/>
            <w:hideMark/>
          </w:tcPr>
          <w:p w14:paraId="5A6BD0C5"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Brøndby</w:t>
            </w:r>
          </w:p>
        </w:tc>
        <w:tc>
          <w:tcPr>
            <w:tcW w:w="1723" w:type="pct"/>
            <w:tcBorders>
              <w:top w:val="nil"/>
              <w:left w:val="nil"/>
              <w:bottom w:val="nil"/>
              <w:right w:val="nil"/>
            </w:tcBorders>
            <w:shd w:val="clear" w:color="000000" w:fill="CEDBF0"/>
            <w:noWrap/>
            <w:vAlign w:val="bottom"/>
            <w:hideMark/>
          </w:tcPr>
          <w:p w14:paraId="75350A74"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397,4 </w:t>
            </w:r>
          </w:p>
        </w:tc>
        <w:tc>
          <w:tcPr>
            <w:tcW w:w="1746" w:type="pct"/>
            <w:tcBorders>
              <w:top w:val="nil"/>
              <w:left w:val="nil"/>
              <w:bottom w:val="nil"/>
              <w:right w:val="nil"/>
            </w:tcBorders>
            <w:shd w:val="clear" w:color="000000" w:fill="CEDBF0"/>
            <w:noWrap/>
            <w:vAlign w:val="bottom"/>
            <w:hideMark/>
          </w:tcPr>
          <w:p w14:paraId="0EDEEBC5"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6,0 </w:t>
            </w:r>
          </w:p>
        </w:tc>
      </w:tr>
      <w:tr w:rsidR="00885AA1" w:rsidRPr="00A710CE" w14:paraId="786EB887" w14:textId="77777777" w:rsidTr="001F43C9">
        <w:trPr>
          <w:trHeight w:val="300"/>
        </w:trPr>
        <w:tc>
          <w:tcPr>
            <w:tcW w:w="1531" w:type="pct"/>
            <w:tcBorders>
              <w:top w:val="nil"/>
              <w:left w:val="nil"/>
              <w:bottom w:val="nil"/>
              <w:right w:val="nil"/>
            </w:tcBorders>
            <w:shd w:val="clear" w:color="auto" w:fill="auto"/>
            <w:noWrap/>
            <w:vAlign w:val="bottom"/>
            <w:hideMark/>
          </w:tcPr>
          <w:p w14:paraId="549721B3"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Brønderslev</w:t>
            </w:r>
          </w:p>
        </w:tc>
        <w:tc>
          <w:tcPr>
            <w:tcW w:w="1723" w:type="pct"/>
            <w:tcBorders>
              <w:top w:val="nil"/>
              <w:left w:val="nil"/>
              <w:bottom w:val="nil"/>
              <w:right w:val="nil"/>
            </w:tcBorders>
            <w:shd w:val="clear" w:color="auto" w:fill="auto"/>
            <w:noWrap/>
            <w:vAlign w:val="bottom"/>
            <w:hideMark/>
          </w:tcPr>
          <w:p w14:paraId="44F4B8B4"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315,1 </w:t>
            </w:r>
          </w:p>
        </w:tc>
        <w:tc>
          <w:tcPr>
            <w:tcW w:w="1746" w:type="pct"/>
            <w:tcBorders>
              <w:top w:val="nil"/>
              <w:left w:val="nil"/>
              <w:bottom w:val="nil"/>
              <w:right w:val="nil"/>
            </w:tcBorders>
            <w:shd w:val="clear" w:color="auto" w:fill="auto"/>
            <w:noWrap/>
            <w:vAlign w:val="bottom"/>
            <w:hideMark/>
          </w:tcPr>
          <w:p w14:paraId="7B5EA1B6"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9,1 </w:t>
            </w:r>
          </w:p>
        </w:tc>
      </w:tr>
      <w:tr w:rsidR="00885AA1" w:rsidRPr="00A710CE" w14:paraId="7DB157BF" w14:textId="77777777" w:rsidTr="001F43C9">
        <w:trPr>
          <w:trHeight w:val="300"/>
        </w:trPr>
        <w:tc>
          <w:tcPr>
            <w:tcW w:w="1531" w:type="pct"/>
            <w:tcBorders>
              <w:top w:val="nil"/>
              <w:left w:val="nil"/>
              <w:bottom w:val="nil"/>
              <w:right w:val="nil"/>
            </w:tcBorders>
            <w:shd w:val="clear" w:color="000000" w:fill="CEDBF0"/>
            <w:noWrap/>
            <w:vAlign w:val="bottom"/>
            <w:hideMark/>
          </w:tcPr>
          <w:p w14:paraId="4AAA0529"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Dragør</w:t>
            </w:r>
          </w:p>
        </w:tc>
        <w:tc>
          <w:tcPr>
            <w:tcW w:w="1723" w:type="pct"/>
            <w:tcBorders>
              <w:top w:val="nil"/>
              <w:left w:val="nil"/>
              <w:bottom w:val="nil"/>
              <w:right w:val="nil"/>
            </w:tcBorders>
            <w:shd w:val="clear" w:color="000000" w:fill="CEDBF0"/>
            <w:noWrap/>
            <w:vAlign w:val="bottom"/>
            <w:hideMark/>
          </w:tcPr>
          <w:p w14:paraId="7794C1F2"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136,0 </w:t>
            </w:r>
          </w:p>
        </w:tc>
        <w:tc>
          <w:tcPr>
            <w:tcW w:w="1746" w:type="pct"/>
            <w:tcBorders>
              <w:top w:val="nil"/>
              <w:left w:val="nil"/>
              <w:bottom w:val="nil"/>
              <w:right w:val="nil"/>
            </w:tcBorders>
            <w:shd w:val="clear" w:color="000000" w:fill="CEDBF0"/>
            <w:noWrap/>
            <w:vAlign w:val="bottom"/>
            <w:hideMark/>
          </w:tcPr>
          <w:p w14:paraId="20E148C4"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2,4 </w:t>
            </w:r>
          </w:p>
        </w:tc>
      </w:tr>
      <w:tr w:rsidR="00885AA1" w:rsidRPr="00A710CE" w14:paraId="71B477B4" w14:textId="77777777" w:rsidTr="001F43C9">
        <w:trPr>
          <w:trHeight w:val="300"/>
        </w:trPr>
        <w:tc>
          <w:tcPr>
            <w:tcW w:w="1531" w:type="pct"/>
            <w:tcBorders>
              <w:top w:val="nil"/>
              <w:left w:val="nil"/>
              <w:bottom w:val="nil"/>
              <w:right w:val="nil"/>
            </w:tcBorders>
            <w:shd w:val="clear" w:color="auto" w:fill="auto"/>
            <w:noWrap/>
            <w:vAlign w:val="bottom"/>
            <w:hideMark/>
          </w:tcPr>
          <w:p w14:paraId="178044B5"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Egedal</w:t>
            </w:r>
          </w:p>
        </w:tc>
        <w:tc>
          <w:tcPr>
            <w:tcW w:w="1723" w:type="pct"/>
            <w:tcBorders>
              <w:top w:val="nil"/>
              <w:left w:val="nil"/>
              <w:bottom w:val="nil"/>
              <w:right w:val="nil"/>
            </w:tcBorders>
            <w:shd w:val="clear" w:color="auto" w:fill="auto"/>
            <w:noWrap/>
            <w:vAlign w:val="bottom"/>
            <w:hideMark/>
          </w:tcPr>
          <w:p w14:paraId="2ED8933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286,2 </w:t>
            </w:r>
          </w:p>
        </w:tc>
        <w:tc>
          <w:tcPr>
            <w:tcW w:w="1746" w:type="pct"/>
            <w:tcBorders>
              <w:top w:val="nil"/>
              <w:left w:val="nil"/>
              <w:bottom w:val="nil"/>
              <w:right w:val="nil"/>
            </w:tcBorders>
            <w:shd w:val="clear" w:color="auto" w:fill="auto"/>
            <w:noWrap/>
            <w:vAlign w:val="bottom"/>
            <w:hideMark/>
          </w:tcPr>
          <w:p w14:paraId="45949F6A"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16,9 </w:t>
            </w:r>
          </w:p>
        </w:tc>
      </w:tr>
      <w:tr w:rsidR="00885AA1" w:rsidRPr="00A710CE" w14:paraId="5F7745B8" w14:textId="77777777" w:rsidTr="001F43C9">
        <w:trPr>
          <w:trHeight w:val="300"/>
        </w:trPr>
        <w:tc>
          <w:tcPr>
            <w:tcW w:w="1531" w:type="pct"/>
            <w:tcBorders>
              <w:top w:val="nil"/>
              <w:left w:val="nil"/>
              <w:bottom w:val="nil"/>
              <w:right w:val="nil"/>
            </w:tcBorders>
            <w:shd w:val="clear" w:color="000000" w:fill="CEDBF0"/>
            <w:noWrap/>
            <w:vAlign w:val="bottom"/>
            <w:hideMark/>
          </w:tcPr>
          <w:p w14:paraId="33611832"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Esbjerg</w:t>
            </w:r>
          </w:p>
        </w:tc>
        <w:tc>
          <w:tcPr>
            <w:tcW w:w="1723" w:type="pct"/>
            <w:tcBorders>
              <w:top w:val="nil"/>
              <w:left w:val="nil"/>
              <w:bottom w:val="nil"/>
              <w:right w:val="nil"/>
            </w:tcBorders>
            <w:shd w:val="clear" w:color="000000" w:fill="CEDBF0"/>
            <w:noWrap/>
            <w:vAlign w:val="bottom"/>
            <w:hideMark/>
          </w:tcPr>
          <w:p w14:paraId="2EEA0DE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1.080,8 </w:t>
            </w:r>
          </w:p>
        </w:tc>
        <w:tc>
          <w:tcPr>
            <w:tcW w:w="1746" w:type="pct"/>
            <w:tcBorders>
              <w:top w:val="nil"/>
              <w:left w:val="nil"/>
              <w:bottom w:val="nil"/>
              <w:right w:val="nil"/>
            </w:tcBorders>
            <w:shd w:val="clear" w:color="000000" w:fill="CEDBF0"/>
            <w:noWrap/>
            <w:vAlign w:val="bottom"/>
            <w:hideMark/>
          </w:tcPr>
          <w:p w14:paraId="64244BA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40,7 </w:t>
            </w:r>
          </w:p>
        </w:tc>
      </w:tr>
      <w:tr w:rsidR="00885AA1" w:rsidRPr="00A710CE" w14:paraId="13F243F8" w14:textId="77777777" w:rsidTr="001F43C9">
        <w:trPr>
          <w:trHeight w:val="300"/>
        </w:trPr>
        <w:tc>
          <w:tcPr>
            <w:tcW w:w="1531" w:type="pct"/>
            <w:tcBorders>
              <w:top w:val="nil"/>
              <w:left w:val="nil"/>
              <w:bottom w:val="nil"/>
              <w:right w:val="nil"/>
            </w:tcBorders>
            <w:shd w:val="clear" w:color="auto" w:fill="auto"/>
            <w:noWrap/>
            <w:vAlign w:val="bottom"/>
            <w:hideMark/>
          </w:tcPr>
          <w:p w14:paraId="7DBA8DF0"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Fanø</w:t>
            </w:r>
          </w:p>
        </w:tc>
        <w:tc>
          <w:tcPr>
            <w:tcW w:w="1723" w:type="pct"/>
            <w:tcBorders>
              <w:top w:val="nil"/>
              <w:left w:val="nil"/>
              <w:bottom w:val="nil"/>
              <w:right w:val="nil"/>
            </w:tcBorders>
            <w:shd w:val="clear" w:color="auto" w:fill="auto"/>
            <w:noWrap/>
            <w:vAlign w:val="bottom"/>
            <w:hideMark/>
          </w:tcPr>
          <w:p w14:paraId="78E4382E"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37,1 </w:t>
            </w:r>
          </w:p>
        </w:tc>
        <w:tc>
          <w:tcPr>
            <w:tcW w:w="1746" w:type="pct"/>
            <w:tcBorders>
              <w:top w:val="nil"/>
              <w:left w:val="nil"/>
              <w:bottom w:val="nil"/>
              <w:right w:val="nil"/>
            </w:tcBorders>
            <w:shd w:val="clear" w:color="auto" w:fill="auto"/>
            <w:noWrap/>
            <w:vAlign w:val="bottom"/>
            <w:hideMark/>
          </w:tcPr>
          <w:p w14:paraId="664C309F"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2,1 </w:t>
            </w:r>
          </w:p>
        </w:tc>
      </w:tr>
      <w:tr w:rsidR="00885AA1" w:rsidRPr="00A710CE" w14:paraId="04D62C5B" w14:textId="77777777" w:rsidTr="001F43C9">
        <w:trPr>
          <w:trHeight w:val="300"/>
        </w:trPr>
        <w:tc>
          <w:tcPr>
            <w:tcW w:w="1531" w:type="pct"/>
            <w:tcBorders>
              <w:top w:val="nil"/>
              <w:left w:val="nil"/>
              <w:bottom w:val="nil"/>
              <w:right w:val="nil"/>
            </w:tcBorders>
            <w:shd w:val="clear" w:color="000000" w:fill="CEDBF0"/>
            <w:noWrap/>
            <w:vAlign w:val="bottom"/>
            <w:hideMark/>
          </w:tcPr>
          <w:p w14:paraId="50262C67"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Favrskov</w:t>
            </w:r>
          </w:p>
        </w:tc>
        <w:tc>
          <w:tcPr>
            <w:tcW w:w="1723" w:type="pct"/>
            <w:tcBorders>
              <w:top w:val="nil"/>
              <w:left w:val="nil"/>
              <w:bottom w:val="nil"/>
              <w:right w:val="nil"/>
            </w:tcBorders>
            <w:shd w:val="clear" w:color="000000" w:fill="CEDBF0"/>
            <w:noWrap/>
            <w:vAlign w:val="bottom"/>
            <w:hideMark/>
          </w:tcPr>
          <w:p w14:paraId="638244CE"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332,6 </w:t>
            </w:r>
          </w:p>
        </w:tc>
        <w:tc>
          <w:tcPr>
            <w:tcW w:w="1746" w:type="pct"/>
            <w:tcBorders>
              <w:top w:val="nil"/>
              <w:left w:val="nil"/>
              <w:bottom w:val="nil"/>
              <w:right w:val="nil"/>
            </w:tcBorders>
            <w:shd w:val="clear" w:color="000000" w:fill="CEDBF0"/>
            <w:noWrap/>
            <w:vAlign w:val="bottom"/>
            <w:hideMark/>
          </w:tcPr>
          <w:p w14:paraId="1796876D"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12,0 </w:t>
            </w:r>
          </w:p>
        </w:tc>
      </w:tr>
      <w:tr w:rsidR="00885AA1" w:rsidRPr="00A710CE" w14:paraId="6C9EEAC3" w14:textId="77777777" w:rsidTr="001F43C9">
        <w:trPr>
          <w:trHeight w:val="300"/>
        </w:trPr>
        <w:tc>
          <w:tcPr>
            <w:tcW w:w="1531" w:type="pct"/>
            <w:tcBorders>
              <w:top w:val="nil"/>
              <w:left w:val="nil"/>
              <w:bottom w:val="nil"/>
              <w:right w:val="nil"/>
            </w:tcBorders>
            <w:shd w:val="clear" w:color="auto" w:fill="auto"/>
            <w:noWrap/>
            <w:vAlign w:val="bottom"/>
            <w:hideMark/>
          </w:tcPr>
          <w:p w14:paraId="277044AD"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Faxe</w:t>
            </w:r>
          </w:p>
        </w:tc>
        <w:tc>
          <w:tcPr>
            <w:tcW w:w="1723" w:type="pct"/>
            <w:tcBorders>
              <w:top w:val="nil"/>
              <w:left w:val="nil"/>
              <w:bottom w:val="nil"/>
              <w:right w:val="nil"/>
            </w:tcBorders>
            <w:shd w:val="clear" w:color="auto" w:fill="auto"/>
            <w:noWrap/>
            <w:vAlign w:val="bottom"/>
            <w:hideMark/>
          </w:tcPr>
          <w:p w14:paraId="19075B5F"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292,8 </w:t>
            </w:r>
          </w:p>
        </w:tc>
        <w:tc>
          <w:tcPr>
            <w:tcW w:w="1746" w:type="pct"/>
            <w:tcBorders>
              <w:top w:val="nil"/>
              <w:left w:val="nil"/>
              <w:bottom w:val="nil"/>
              <w:right w:val="nil"/>
            </w:tcBorders>
            <w:shd w:val="clear" w:color="auto" w:fill="auto"/>
            <w:noWrap/>
            <w:vAlign w:val="bottom"/>
            <w:hideMark/>
          </w:tcPr>
          <w:p w14:paraId="4A48F9AB"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11,3 </w:t>
            </w:r>
          </w:p>
        </w:tc>
      </w:tr>
      <w:tr w:rsidR="00885AA1" w:rsidRPr="00A710CE" w14:paraId="135816CE" w14:textId="77777777" w:rsidTr="001F43C9">
        <w:trPr>
          <w:trHeight w:val="300"/>
        </w:trPr>
        <w:tc>
          <w:tcPr>
            <w:tcW w:w="1531" w:type="pct"/>
            <w:tcBorders>
              <w:top w:val="nil"/>
              <w:left w:val="nil"/>
              <w:bottom w:val="nil"/>
              <w:right w:val="nil"/>
            </w:tcBorders>
            <w:shd w:val="clear" w:color="000000" w:fill="CEDBF0"/>
            <w:noWrap/>
            <w:vAlign w:val="bottom"/>
            <w:hideMark/>
          </w:tcPr>
          <w:p w14:paraId="27A12C48"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Fredensborg</w:t>
            </w:r>
          </w:p>
        </w:tc>
        <w:tc>
          <w:tcPr>
            <w:tcW w:w="1723" w:type="pct"/>
            <w:tcBorders>
              <w:top w:val="nil"/>
              <w:left w:val="nil"/>
              <w:bottom w:val="nil"/>
              <w:right w:val="nil"/>
            </w:tcBorders>
            <w:shd w:val="clear" w:color="000000" w:fill="CEDBF0"/>
            <w:noWrap/>
            <w:vAlign w:val="bottom"/>
            <w:hideMark/>
          </w:tcPr>
          <w:p w14:paraId="6D2CA04B"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363,7 </w:t>
            </w:r>
          </w:p>
        </w:tc>
        <w:tc>
          <w:tcPr>
            <w:tcW w:w="1746" w:type="pct"/>
            <w:tcBorders>
              <w:top w:val="nil"/>
              <w:left w:val="nil"/>
              <w:bottom w:val="nil"/>
              <w:right w:val="nil"/>
            </w:tcBorders>
            <w:shd w:val="clear" w:color="000000" w:fill="CEDBF0"/>
            <w:noWrap/>
            <w:vAlign w:val="bottom"/>
            <w:hideMark/>
          </w:tcPr>
          <w:p w14:paraId="640E4ACA"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16,2 </w:t>
            </w:r>
          </w:p>
        </w:tc>
      </w:tr>
      <w:tr w:rsidR="00885AA1" w:rsidRPr="00A710CE" w14:paraId="643D8780" w14:textId="77777777" w:rsidTr="001F43C9">
        <w:trPr>
          <w:trHeight w:val="300"/>
        </w:trPr>
        <w:tc>
          <w:tcPr>
            <w:tcW w:w="1531" w:type="pct"/>
            <w:tcBorders>
              <w:top w:val="nil"/>
              <w:left w:val="nil"/>
              <w:bottom w:val="nil"/>
              <w:right w:val="nil"/>
            </w:tcBorders>
            <w:shd w:val="clear" w:color="auto" w:fill="auto"/>
            <w:noWrap/>
            <w:vAlign w:val="bottom"/>
            <w:hideMark/>
          </w:tcPr>
          <w:p w14:paraId="356F9422"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Fredericia</w:t>
            </w:r>
          </w:p>
        </w:tc>
        <w:tc>
          <w:tcPr>
            <w:tcW w:w="1723" w:type="pct"/>
            <w:tcBorders>
              <w:top w:val="nil"/>
              <w:left w:val="nil"/>
              <w:bottom w:val="nil"/>
              <w:right w:val="nil"/>
            </w:tcBorders>
            <w:shd w:val="clear" w:color="auto" w:fill="auto"/>
            <w:noWrap/>
            <w:vAlign w:val="bottom"/>
            <w:hideMark/>
          </w:tcPr>
          <w:p w14:paraId="1492B824"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497,5 </w:t>
            </w:r>
          </w:p>
        </w:tc>
        <w:tc>
          <w:tcPr>
            <w:tcW w:w="1746" w:type="pct"/>
            <w:tcBorders>
              <w:top w:val="nil"/>
              <w:left w:val="nil"/>
              <w:bottom w:val="nil"/>
              <w:right w:val="nil"/>
            </w:tcBorders>
            <w:shd w:val="clear" w:color="auto" w:fill="auto"/>
            <w:noWrap/>
            <w:vAlign w:val="bottom"/>
            <w:hideMark/>
          </w:tcPr>
          <w:p w14:paraId="5BAF041C"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15,2 </w:t>
            </w:r>
          </w:p>
        </w:tc>
      </w:tr>
      <w:tr w:rsidR="00885AA1" w:rsidRPr="00A710CE" w14:paraId="15BF270D" w14:textId="77777777" w:rsidTr="001F43C9">
        <w:trPr>
          <w:trHeight w:val="300"/>
        </w:trPr>
        <w:tc>
          <w:tcPr>
            <w:tcW w:w="1531" w:type="pct"/>
            <w:tcBorders>
              <w:top w:val="nil"/>
              <w:left w:val="nil"/>
              <w:bottom w:val="nil"/>
              <w:right w:val="nil"/>
            </w:tcBorders>
            <w:shd w:val="clear" w:color="000000" w:fill="CEDBF0"/>
            <w:noWrap/>
            <w:vAlign w:val="bottom"/>
            <w:hideMark/>
          </w:tcPr>
          <w:p w14:paraId="278437D5"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Frederiksberg</w:t>
            </w:r>
          </w:p>
        </w:tc>
        <w:tc>
          <w:tcPr>
            <w:tcW w:w="1723" w:type="pct"/>
            <w:tcBorders>
              <w:top w:val="nil"/>
              <w:left w:val="nil"/>
              <w:bottom w:val="nil"/>
              <w:right w:val="nil"/>
            </w:tcBorders>
            <w:shd w:val="clear" w:color="000000" w:fill="CEDBF0"/>
            <w:noWrap/>
            <w:vAlign w:val="bottom"/>
            <w:hideMark/>
          </w:tcPr>
          <w:p w14:paraId="165EA34C"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833,0 </w:t>
            </w:r>
          </w:p>
        </w:tc>
        <w:tc>
          <w:tcPr>
            <w:tcW w:w="1746" w:type="pct"/>
            <w:tcBorders>
              <w:top w:val="nil"/>
              <w:left w:val="nil"/>
              <w:bottom w:val="nil"/>
              <w:right w:val="nil"/>
            </w:tcBorders>
            <w:shd w:val="clear" w:color="000000" w:fill="CEDBF0"/>
            <w:noWrap/>
            <w:vAlign w:val="bottom"/>
            <w:hideMark/>
          </w:tcPr>
          <w:p w14:paraId="47AB67EF"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7,2 </w:t>
            </w:r>
          </w:p>
        </w:tc>
      </w:tr>
      <w:tr w:rsidR="00885AA1" w:rsidRPr="00A710CE" w14:paraId="3F0F9218" w14:textId="77777777" w:rsidTr="001F43C9">
        <w:trPr>
          <w:trHeight w:val="300"/>
        </w:trPr>
        <w:tc>
          <w:tcPr>
            <w:tcW w:w="1531" w:type="pct"/>
            <w:tcBorders>
              <w:top w:val="nil"/>
              <w:left w:val="nil"/>
              <w:bottom w:val="nil"/>
              <w:right w:val="nil"/>
            </w:tcBorders>
            <w:shd w:val="clear" w:color="auto" w:fill="auto"/>
            <w:noWrap/>
            <w:vAlign w:val="bottom"/>
            <w:hideMark/>
          </w:tcPr>
          <w:p w14:paraId="6149CE6D"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Frederikshavn</w:t>
            </w:r>
          </w:p>
        </w:tc>
        <w:tc>
          <w:tcPr>
            <w:tcW w:w="1723" w:type="pct"/>
            <w:tcBorders>
              <w:top w:val="nil"/>
              <w:left w:val="nil"/>
              <w:bottom w:val="nil"/>
              <w:right w:val="nil"/>
            </w:tcBorders>
            <w:shd w:val="clear" w:color="auto" w:fill="auto"/>
            <w:noWrap/>
            <w:vAlign w:val="bottom"/>
            <w:hideMark/>
          </w:tcPr>
          <w:p w14:paraId="678107FB"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602,5 </w:t>
            </w:r>
          </w:p>
        </w:tc>
        <w:tc>
          <w:tcPr>
            <w:tcW w:w="1746" w:type="pct"/>
            <w:tcBorders>
              <w:top w:val="nil"/>
              <w:left w:val="nil"/>
              <w:bottom w:val="nil"/>
              <w:right w:val="nil"/>
            </w:tcBorders>
            <w:shd w:val="clear" w:color="auto" w:fill="auto"/>
            <w:noWrap/>
            <w:vAlign w:val="bottom"/>
            <w:hideMark/>
          </w:tcPr>
          <w:p w14:paraId="5C1C26F6"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16,6 </w:t>
            </w:r>
          </w:p>
        </w:tc>
      </w:tr>
      <w:tr w:rsidR="00885AA1" w:rsidRPr="00A710CE" w14:paraId="07C91570" w14:textId="77777777" w:rsidTr="001F43C9">
        <w:trPr>
          <w:trHeight w:val="300"/>
        </w:trPr>
        <w:tc>
          <w:tcPr>
            <w:tcW w:w="1531" w:type="pct"/>
            <w:tcBorders>
              <w:top w:val="nil"/>
              <w:left w:val="nil"/>
              <w:bottom w:val="nil"/>
              <w:right w:val="nil"/>
            </w:tcBorders>
            <w:shd w:val="clear" w:color="000000" w:fill="CEDBF0"/>
            <w:noWrap/>
            <w:vAlign w:val="bottom"/>
            <w:hideMark/>
          </w:tcPr>
          <w:p w14:paraId="53647DAE"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Frederikssund</w:t>
            </w:r>
          </w:p>
        </w:tc>
        <w:tc>
          <w:tcPr>
            <w:tcW w:w="1723" w:type="pct"/>
            <w:tcBorders>
              <w:top w:val="nil"/>
              <w:left w:val="nil"/>
              <w:bottom w:val="nil"/>
              <w:right w:val="nil"/>
            </w:tcBorders>
            <w:shd w:val="clear" w:color="000000" w:fill="CEDBF0"/>
            <w:noWrap/>
            <w:vAlign w:val="bottom"/>
            <w:hideMark/>
          </w:tcPr>
          <w:p w14:paraId="513669AE"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423,5 </w:t>
            </w:r>
          </w:p>
        </w:tc>
        <w:tc>
          <w:tcPr>
            <w:tcW w:w="1746" w:type="pct"/>
            <w:tcBorders>
              <w:top w:val="nil"/>
              <w:left w:val="nil"/>
              <w:bottom w:val="nil"/>
              <w:right w:val="nil"/>
            </w:tcBorders>
            <w:shd w:val="clear" w:color="000000" w:fill="CEDBF0"/>
            <w:noWrap/>
            <w:vAlign w:val="bottom"/>
            <w:hideMark/>
          </w:tcPr>
          <w:p w14:paraId="2F812083"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21,6 </w:t>
            </w:r>
          </w:p>
        </w:tc>
      </w:tr>
      <w:tr w:rsidR="00885AA1" w:rsidRPr="00A710CE" w14:paraId="4809A7FC" w14:textId="77777777" w:rsidTr="001F43C9">
        <w:trPr>
          <w:trHeight w:val="300"/>
        </w:trPr>
        <w:tc>
          <w:tcPr>
            <w:tcW w:w="1531" w:type="pct"/>
            <w:tcBorders>
              <w:top w:val="nil"/>
              <w:left w:val="nil"/>
              <w:bottom w:val="nil"/>
              <w:right w:val="nil"/>
            </w:tcBorders>
            <w:shd w:val="clear" w:color="auto" w:fill="auto"/>
            <w:noWrap/>
            <w:vAlign w:val="bottom"/>
            <w:hideMark/>
          </w:tcPr>
          <w:p w14:paraId="484826FB"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Furesø</w:t>
            </w:r>
          </w:p>
        </w:tc>
        <w:tc>
          <w:tcPr>
            <w:tcW w:w="1723" w:type="pct"/>
            <w:tcBorders>
              <w:top w:val="nil"/>
              <w:left w:val="nil"/>
              <w:bottom w:val="nil"/>
              <w:right w:val="nil"/>
            </w:tcBorders>
            <w:shd w:val="clear" w:color="auto" w:fill="auto"/>
            <w:noWrap/>
            <w:vAlign w:val="bottom"/>
            <w:hideMark/>
          </w:tcPr>
          <w:p w14:paraId="130C34FE"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336,3 </w:t>
            </w:r>
          </w:p>
        </w:tc>
        <w:tc>
          <w:tcPr>
            <w:tcW w:w="1746" w:type="pct"/>
            <w:tcBorders>
              <w:top w:val="nil"/>
              <w:left w:val="nil"/>
              <w:bottom w:val="nil"/>
              <w:right w:val="nil"/>
            </w:tcBorders>
            <w:shd w:val="clear" w:color="auto" w:fill="auto"/>
            <w:noWrap/>
            <w:vAlign w:val="bottom"/>
            <w:hideMark/>
          </w:tcPr>
          <w:p w14:paraId="5659A48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12,8 </w:t>
            </w:r>
          </w:p>
        </w:tc>
      </w:tr>
      <w:tr w:rsidR="00885AA1" w:rsidRPr="00A710CE" w14:paraId="40E004C7" w14:textId="77777777" w:rsidTr="001F43C9">
        <w:trPr>
          <w:trHeight w:val="300"/>
        </w:trPr>
        <w:tc>
          <w:tcPr>
            <w:tcW w:w="1531" w:type="pct"/>
            <w:tcBorders>
              <w:top w:val="nil"/>
              <w:left w:val="nil"/>
              <w:bottom w:val="nil"/>
              <w:right w:val="nil"/>
            </w:tcBorders>
            <w:shd w:val="clear" w:color="000000" w:fill="CEDBF0"/>
            <w:noWrap/>
            <w:vAlign w:val="bottom"/>
            <w:hideMark/>
          </w:tcPr>
          <w:p w14:paraId="357E3954"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Faaborg-Midtfyn</w:t>
            </w:r>
          </w:p>
        </w:tc>
        <w:tc>
          <w:tcPr>
            <w:tcW w:w="1723" w:type="pct"/>
            <w:tcBorders>
              <w:top w:val="nil"/>
              <w:left w:val="nil"/>
              <w:bottom w:val="nil"/>
              <w:right w:val="nil"/>
            </w:tcBorders>
            <w:shd w:val="clear" w:color="000000" w:fill="CEDBF0"/>
            <w:noWrap/>
            <w:vAlign w:val="bottom"/>
            <w:hideMark/>
          </w:tcPr>
          <w:p w14:paraId="466A09A2"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451,0 </w:t>
            </w:r>
          </w:p>
        </w:tc>
        <w:tc>
          <w:tcPr>
            <w:tcW w:w="1746" w:type="pct"/>
            <w:tcBorders>
              <w:top w:val="nil"/>
              <w:left w:val="nil"/>
              <w:bottom w:val="nil"/>
              <w:right w:val="nil"/>
            </w:tcBorders>
            <w:shd w:val="clear" w:color="000000" w:fill="CEDBF0"/>
            <w:noWrap/>
            <w:vAlign w:val="bottom"/>
            <w:hideMark/>
          </w:tcPr>
          <w:p w14:paraId="6D005594"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12,2 </w:t>
            </w:r>
          </w:p>
        </w:tc>
      </w:tr>
      <w:tr w:rsidR="00885AA1" w:rsidRPr="00A710CE" w14:paraId="5625F4ED" w14:textId="77777777" w:rsidTr="001F43C9">
        <w:trPr>
          <w:trHeight w:val="300"/>
        </w:trPr>
        <w:tc>
          <w:tcPr>
            <w:tcW w:w="1531" w:type="pct"/>
            <w:tcBorders>
              <w:top w:val="nil"/>
              <w:left w:val="nil"/>
              <w:bottom w:val="nil"/>
              <w:right w:val="nil"/>
            </w:tcBorders>
            <w:shd w:val="clear" w:color="auto" w:fill="auto"/>
            <w:noWrap/>
            <w:vAlign w:val="bottom"/>
            <w:hideMark/>
          </w:tcPr>
          <w:p w14:paraId="6D24236D"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Gentofte</w:t>
            </w:r>
          </w:p>
        </w:tc>
        <w:tc>
          <w:tcPr>
            <w:tcW w:w="1723" w:type="pct"/>
            <w:tcBorders>
              <w:top w:val="nil"/>
              <w:left w:val="nil"/>
              <w:bottom w:val="nil"/>
              <w:right w:val="nil"/>
            </w:tcBorders>
            <w:shd w:val="clear" w:color="auto" w:fill="auto"/>
            <w:noWrap/>
            <w:vAlign w:val="bottom"/>
            <w:hideMark/>
          </w:tcPr>
          <w:p w14:paraId="1E700456"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771,4 </w:t>
            </w:r>
          </w:p>
        </w:tc>
        <w:tc>
          <w:tcPr>
            <w:tcW w:w="1746" w:type="pct"/>
            <w:tcBorders>
              <w:top w:val="nil"/>
              <w:left w:val="nil"/>
              <w:bottom w:val="nil"/>
              <w:right w:val="nil"/>
            </w:tcBorders>
            <w:shd w:val="clear" w:color="auto" w:fill="auto"/>
            <w:noWrap/>
            <w:vAlign w:val="bottom"/>
            <w:hideMark/>
          </w:tcPr>
          <w:p w14:paraId="4A6314E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11,3 </w:t>
            </w:r>
          </w:p>
        </w:tc>
      </w:tr>
      <w:tr w:rsidR="00885AA1" w:rsidRPr="00A710CE" w14:paraId="6E4F8C9F" w14:textId="77777777" w:rsidTr="001F43C9">
        <w:trPr>
          <w:trHeight w:val="300"/>
        </w:trPr>
        <w:tc>
          <w:tcPr>
            <w:tcW w:w="1531" w:type="pct"/>
            <w:tcBorders>
              <w:top w:val="nil"/>
              <w:left w:val="nil"/>
              <w:bottom w:val="nil"/>
              <w:right w:val="nil"/>
            </w:tcBorders>
            <w:shd w:val="clear" w:color="000000" w:fill="CEDBF0"/>
            <w:noWrap/>
            <w:vAlign w:val="bottom"/>
            <w:hideMark/>
          </w:tcPr>
          <w:p w14:paraId="0932107A"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Gladsaxe</w:t>
            </w:r>
          </w:p>
        </w:tc>
        <w:tc>
          <w:tcPr>
            <w:tcW w:w="1723" w:type="pct"/>
            <w:tcBorders>
              <w:top w:val="nil"/>
              <w:left w:val="nil"/>
              <w:bottom w:val="nil"/>
              <w:right w:val="nil"/>
            </w:tcBorders>
            <w:shd w:val="clear" w:color="000000" w:fill="CEDBF0"/>
            <w:noWrap/>
            <w:vAlign w:val="bottom"/>
            <w:hideMark/>
          </w:tcPr>
          <w:p w14:paraId="60AECCC5"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618,6 </w:t>
            </w:r>
          </w:p>
        </w:tc>
        <w:tc>
          <w:tcPr>
            <w:tcW w:w="1746" w:type="pct"/>
            <w:tcBorders>
              <w:top w:val="nil"/>
              <w:left w:val="nil"/>
              <w:bottom w:val="nil"/>
              <w:right w:val="nil"/>
            </w:tcBorders>
            <w:shd w:val="clear" w:color="000000" w:fill="CEDBF0"/>
            <w:noWrap/>
            <w:vAlign w:val="bottom"/>
            <w:hideMark/>
          </w:tcPr>
          <w:p w14:paraId="2CF2811A"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4,7 </w:t>
            </w:r>
          </w:p>
        </w:tc>
      </w:tr>
      <w:tr w:rsidR="00885AA1" w:rsidRPr="00A710CE" w14:paraId="41CDBAF0" w14:textId="77777777" w:rsidTr="001F43C9">
        <w:trPr>
          <w:trHeight w:val="300"/>
        </w:trPr>
        <w:tc>
          <w:tcPr>
            <w:tcW w:w="1531" w:type="pct"/>
            <w:tcBorders>
              <w:top w:val="nil"/>
              <w:left w:val="nil"/>
              <w:bottom w:val="nil"/>
              <w:right w:val="nil"/>
            </w:tcBorders>
            <w:shd w:val="clear" w:color="auto" w:fill="auto"/>
            <w:noWrap/>
            <w:vAlign w:val="bottom"/>
            <w:hideMark/>
          </w:tcPr>
          <w:p w14:paraId="7CD2A938"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Glostrup</w:t>
            </w:r>
          </w:p>
        </w:tc>
        <w:tc>
          <w:tcPr>
            <w:tcW w:w="1723" w:type="pct"/>
            <w:tcBorders>
              <w:top w:val="nil"/>
              <w:left w:val="nil"/>
              <w:bottom w:val="nil"/>
              <w:right w:val="nil"/>
            </w:tcBorders>
            <w:shd w:val="clear" w:color="auto" w:fill="auto"/>
            <w:noWrap/>
            <w:vAlign w:val="bottom"/>
            <w:hideMark/>
          </w:tcPr>
          <w:p w14:paraId="38B2B41E"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197,9 </w:t>
            </w:r>
          </w:p>
        </w:tc>
        <w:tc>
          <w:tcPr>
            <w:tcW w:w="1746" w:type="pct"/>
            <w:tcBorders>
              <w:top w:val="nil"/>
              <w:left w:val="nil"/>
              <w:bottom w:val="nil"/>
              <w:right w:val="nil"/>
            </w:tcBorders>
            <w:shd w:val="clear" w:color="auto" w:fill="auto"/>
            <w:noWrap/>
            <w:vAlign w:val="bottom"/>
            <w:hideMark/>
          </w:tcPr>
          <w:p w14:paraId="3AB4B69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3,8 </w:t>
            </w:r>
          </w:p>
        </w:tc>
      </w:tr>
      <w:tr w:rsidR="00885AA1" w:rsidRPr="00A710CE" w14:paraId="05FE0DA7" w14:textId="77777777" w:rsidTr="001F43C9">
        <w:trPr>
          <w:trHeight w:val="300"/>
        </w:trPr>
        <w:tc>
          <w:tcPr>
            <w:tcW w:w="1531" w:type="pct"/>
            <w:tcBorders>
              <w:top w:val="nil"/>
              <w:left w:val="nil"/>
              <w:bottom w:val="nil"/>
              <w:right w:val="nil"/>
            </w:tcBorders>
            <w:shd w:val="clear" w:color="000000" w:fill="CEDBF0"/>
            <w:noWrap/>
            <w:vAlign w:val="bottom"/>
            <w:hideMark/>
          </w:tcPr>
          <w:p w14:paraId="0C895B3D"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Greve</w:t>
            </w:r>
          </w:p>
        </w:tc>
        <w:tc>
          <w:tcPr>
            <w:tcW w:w="1723" w:type="pct"/>
            <w:tcBorders>
              <w:top w:val="nil"/>
              <w:left w:val="nil"/>
              <w:bottom w:val="nil"/>
              <w:right w:val="nil"/>
            </w:tcBorders>
            <w:shd w:val="clear" w:color="000000" w:fill="CEDBF0"/>
            <w:noWrap/>
            <w:vAlign w:val="bottom"/>
            <w:hideMark/>
          </w:tcPr>
          <w:p w14:paraId="0C7DE2AB"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390,7 </w:t>
            </w:r>
          </w:p>
        </w:tc>
        <w:tc>
          <w:tcPr>
            <w:tcW w:w="1746" w:type="pct"/>
            <w:tcBorders>
              <w:top w:val="nil"/>
              <w:left w:val="nil"/>
              <w:bottom w:val="nil"/>
              <w:right w:val="nil"/>
            </w:tcBorders>
            <w:shd w:val="clear" w:color="000000" w:fill="CEDBF0"/>
            <w:noWrap/>
            <w:vAlign w:val="bottom"/>
            <w:hideMark/>
          </w:tcPr>
          <w:p w14:paraId="546D73BD"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20,6 </w:t>
            </w:r>
          </w:p>
        </w:tc>
      </w:tr>
      <w:tr w:rsidR="00885AA1" w:rsidRPr="00A710CE" w14:paraId="6AEBF5B7" w14:textId="77777777" w:rsidTr="001F43C9">
        <w:trPr>
          <w:trHeight w:val="300"/>
        </w:trPr>
        <w:tc>
          <w:tcPr>
            <w:tcW w:w="1531" w:type="pct"/>
            <w:tcBorders>
              <w:top w:val="nil"/>
              <w:left w:val="nil"/>
              <w:bottom w:val="nil"/>
              <w:right w:val="nil"/>
            </w:tcBorders>
            <w:shd w:val="clear" w:color="auto" w:fill="auto"/>
            <w:noWrap/>
            <w:vAlign w:val="bottom"/>
            <w:hideMark/>
          </w:tcPr>
          <w:p w14:paraId="7E5E7A09"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Gribskov</w:t>
            </w:r>
          </w:p>
        </w:tc>
        <w:tc>
          <w:tcPr>
            <w:tcW w:w="1723" w:type="pct"/>
            <w:tcBorders>
              <w:top w:val="nil"/>
              <w:left w:val="nil"/>
              <w:bottom w:val="nil"/>
              <w:right w:val="nil"/>
            </w:tcBorders>
            <w:shd w:val="clear" w:color="auto" w:fill="auto"/>
            <w:noWrap/>
            <w:vAlign w:val="bottom"/>
            <w:hideMark/>
          </w:tcPr>
          <w:p w14:paraId="097C983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399,3 </w:t>
            </w:r>
          </w:p>
        </w:tc>
        <w:tc>
          <w:tcPr>
            <w:tcW w:w="1746" w:type="pct"/>
            <w:tcBorders>
              <w:top w:val="nil"/>
              <w:left w:val="nil"/>
              <w:bottom w:val="nil"/>
              <w:right w:val="nil"/>
            </w:tcBorders>
            <w:shd w:val="clear" w:color="auto" w:fill="auto"/>
            <w:noWrap/>
            <w:vAlign w:val="bottom"/>
            <w:hideMark/>
          </w:tcPr>
          <w:p w14:paraId="0BE85405"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18,2 </w:t>
            </w:r>
          </w:p>
        </w:tc>
      </w:tr>
      <w:tr w:rsidR="00885AA1" w:rsidRPr="00A710CE" w14:paraId="556FFF04" w14:textId="77777777" w:rsidTr="001F43C9">
        <w:trPr>
          <w:trHeight w:val="300"/>
        </w:trPr>
        <w:tc>
          <w:tcPr>
            <w:tcW w:w="1531" w:type="pct"/>
            <w:tcBorders>
              <w:top w:val="nil"/>
              <w:left w:val="nil"/>
              <w:bottom w:val="nil"/>
              <w:right w:val="nil"/>
            </w:tcBorders>
            <w:shd w:val="clear" w:color="000000" w:fill="CEDBF0"/>
            <w:noWrap/>
            <w:vAlign w:val="bottom"/>
            <w:hideMark/>
          </w:tcPr>
          <w:p w14:paraId="793E6CA1"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Guldborgsund</w:t>
            </w:r>
          </w:p>
        </w:tc>
        <w:tc>
          <w:tcPr>
            <w:tcW w:w="1723" w:type="pct"/>
            <w:tcBorders>
              <w:top w:val="nil"/>
              <w:left w:val="nil"/>
              <w:bottom w:val="nil"/>
              <w:right w:val="nil"/>
            </w:tcBorders>
            <w:shd w:val="clear" w:color="000000" w:fill="CEDBF0"/>
            <w:noWrap/>
            <w:vAlign w:val="bottom"/>
            <w:hideMark/>
          </w:tcPr>
          <w:p w14:paraId="6ADA6621"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625,1 </w:t>
            </w:r>
          </w:p>
        </w:tc>
        <w:tc>
          <w:tcPr>
            <w:tcW w:w="1746" w:type="pct"/>
            <w:tcBorders>
              <w:top w:val="nil"/>
              <w:left w:val="nil"/>
              <w:bottom w:val="nil"/>
              <w:right w:val="nil"/>
            </w:tcBorders>
            <w:shd w:val="clear" w:color="000000" w:fill="CEDBF0"/>
            <w:noWrap/>
            <w:vAlign w:val="bottom"/>
            <w:hideMark/>
          </w:tcPr>
          <w:p w14:paraId="578CF3C0"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16,1 </w:t>
            </w:r>
          </w:p>
        </w:tc>
      </w:tr>
      <w:tr w:rsidR="00885AA1" w:rsidRPr="00A710CE" w14:paraId="1DA8936C" w14:textId="77777777" w:rsidTr="001F43C9">
        <w:trPr>
          <w:trHeight w:val="300"/>
        </w:trPr>
        <w:tc>
          <w:tcPr>
            <w:tcW w:w="1531" w:type="pct"/>
            <w:tcBorders>
              <w:top w:val="nil"/>
              <w:left w:val="nil"/>
              <w:bottom w:val="nil"/>
              <w:right w:val="nil"/>
            </w:tcBorders>
            <w:shd w:val="clear" w:color="auto" w:fill="auto"/>
            <w:noWrap/>
            <w:vAlign w:val="bottom"/>
            <w:hideMark/>
          </w:tcPr>
          <w:p w14:paraId="4497165E"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Haderslev</w:t>
            </w:r>
          </w:p>
        </w:tc>
        <w:tc>
          <w:tcPr>
            <w:tcW w:w="1723" w:type="pct"/>
            <w:tcBorders>
              <w:top w:val="nil"/>
              <w:left w:val="nil"/>
              <w:bottom w:val="nil"/>
              <w:right w:val="nil"/>
            </w:tcBorders>
            <w:shd w:val="clear" w:color="auto" w:fill="auto"/>
            <w:noWrap/>
            <w:vAlign w:val="bottom"/>
            <w:hideMark/>
          </w:tcPr>
          <w:p w14:paraId="7341ECC9"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521,7 </w:t>
            </w:r>
          </w:p>
        </w:tc>
        <w:tc>
          <w:tcPr>
            <w:tcW w:w="1746" w:type="pct"/>
            <w:tcBorders>
              <w:top w:val="nil"/>
              <w:left w:val="nil"/>
              <w:bottom w:val="nil"/>
              <w:right w:val="nil"/>
            </w:tcBorders>
            <w:shd w:val="clear" w:color="auto" w:fill="auto"/>
            <w:noWrap/>
            <w:vAlign w:val="bottom"/>
            <w:hideMark/>
          </w:tcPr>
          <w:p w14:paraId="4325D6A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16,0 </w:t>
            </w:r>
          </w:p>
        </w:tc>
      </w:tr>
      <w:tr w:rsidR="00885AA1" w:rsidRPr="00A710CE" w14:paraId="1B078239" w14:textId="77777777" w:rsidTr="001F43C9">
        <w:trPr>
          <w:trHeight w:val="300"/>
        </w:trPr>
        <w:tc>
          <w:tcPr>
            <w:tcW w:w="1531" w:type="pct"/>
            <w:tcBorders>
              <w:top w:val="nil"/>
              <w:left w:val="nil"/>
              <w:bottom w:val="nil"/>
              <w:right w:val="nil"/>
            </w:tcBorders>
            <w:shd w:val="clear" w:color="000000" w:fill="CEDBF0"/>
            <w:noWrap/>
            <w:vAlign w:val="bottom"/>
            <w:hideMark/>
          </w:tcPr>
          <w:p w14:paraId="672C4609"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Halsnæs</w:t>
            </w:r>
          </w:p>
        </w:tc>
        <w:tc>
          <w:tcPr>
            <w:tcW w:w="1723" w:type="pct"/>
            <w:tcBorders>
              <w:top w:val="nil"/>
              <w:left w:val="nil"/>
              <w:bottom w:val="nil"/>
              <w:right w:val="nil"/>
            </w:tcBorders>
            <w:shd w:val="clear" w:color="000000" w:fill="CEDBF0"/>
            <w:noWrap/>
            <w:vAlign w:val="bottom"/>
            <w:hideMark/>
          </w:tcPr>
          <w:p w14:paraId="2887C321"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297,9 </w:t>
            </w:r>
          </w:p>
        </w:tc>
        <w:tc>
          <w:tcPr>
            <w:tcW w:w="1746" w:type="pct"/>
            <w:tcBorders>
              <w:top w:val="nil"/>
              <w:left w:val="nil"/>
              <w:bottom w:val="nil"/>
              <w:right w:val="nil"/>
            </w:tcBorders>
            <w:shd w:val="clear" w:color="000000" w:fill="CEDBF0"/>
            <w:noWrap/>
            <w:vAlign w:val="bottom"/>
            <w:hideMark/>
          </w:tcPr>
          <w:p w14:paraId="7B558620"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15,5 </w:t>
            </w:r>
          </w:p>
        </w:tc>
      </w:tr>
      <w:tr w:rsidR="00885AA1" w:rsidRPr="00A710CE" w14:paraId="219D9A4F" w14:textId="77777777" w:rsidTr="001F43C9">
        <w:trPr>
          <w:trHeight w:val="300"/>
        </w:trPr>
        <w:tc>
          <w:tcPr>
            <w:tcW w:w="1531" w:type="pct"/>
            <w:tcBorders>
              <w:top w:val="nil"/>
              <w:left w:val="nil"/>
              <w:bottom w:val="nil"/>
              <w:right w:val="nil"/>
            </w:tcBorders>
            <w:shd w:val="clear" w:color="auto" w:fill="auto"/>
            <w:noWrap/>
            <w:vAlign w:val="bottom"/>
            <w:hideMark/>
          </w:tcPr>
          <w:p w14:paraId="0A1B7D48"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Hedensted</w:t>
            </w:r>
          </w:p>
        </w:tc>
        <w:tc>
          <w:tcPr>
            <w:tcW w:w="1723" w:type="pct"/>
            <w:tcBorders>
              <w:top w:val="nil"/>
              <w:left w:val="nil"/>
              <w:bottom w:val="nil"/>
              <w:right w:val="nil"/>
            </w:tcBorders>
            <w:shd w:val="clear" w:color="auto" w:fill="auto"/>
            <w:noWrap/>
            <w:vAlign w:val="bottom"/>
            <w:hideMark/>
          </w:tcPr>
          <w:p w14:paraId="5BA1EBF3"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329,0 </w:t>
            </w:r>
          </w:p>
        </w:tc>
        <w:tc>
          <w:tcPr>
            <w:tcW w:w="1746" w:type="pct"/>
            <w:tcBorders>
              <w:top w:val="nil"/>
              <w:left w:val="nil"/>
              <w:bottom w:val="nil"/>
              <w:right w:val="nil"/>
            </w:tcBorders>
            <w:shd w:val="clear" w:color="auto" w:fill="auto"/>
            <w:noWrap/>
            <w:vAlign w:val="bottom"/>
            <w:hideMark/>
          </w:tcPr>
          <w:p w14:paraId="6DE5BD5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8,0 </w:t>
            </w:r>
          </w:p>
        </w:tc>
      </w:tr>
      <w:tr w:rsidR="00885AA1" w:rsidRPr="00A710CE" w14:paraId="36F17909" w14:textId="77777777" w:rsidTr="001F43C9">
        <w:trPr>
          <w:trHeight w:val="300"/>
        </w:trPr>
        <w:tc>
          <w:tcPr>
            <w:tcW w:w="1531" w:type="pct"/>
            <w:tcBorders>
              <w:top w:val="nil"/>
              <w:left w:val="nil"/>
              <w:bottom w:val="nil"/>
              <w:right w:val="nil"/>
            </w:tcBorders>
            <w:shd w:val="clear" w:color="000000" w:fill="CEDBF0"/>
            <w:noWrap/>
            <w:vAlign w:val="bottom"/>
            <w:hideMark/>
          </w:tcPr>
          <w:p w14:paraId="36358B29"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Helsingør</w:t>
            </w:r>
          </w:p>
        </w:tc>
        <w:tc>
          <w:tcPr>
            <w:tcW w:w="1723" w:type="pct"/>
            <w:tcBorders>
              <w:top w:val="nil"/>
              <w:left w:val="nil"/>
              <w:bottom w:val="nil"/>
              <w:right w:val="nil"/>
            </w:tcBorders>
            <w:shd w:val="clear" w:color="000000" w:fill="CEDBF0"/>
            <w:noWrap/>
            <w:vAlign w:val="bottom"/>
            <w:hideMark/>
          </w:tcPr>
          <w:p w14:paraId="3F28822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626,3 </w:t>
            </w:r>
          </w:p>
        </w:tc>
        <w:tc>
          <w:tcPr>
            <w:tcW w:w="1746" w:type="pct"/>
            <w:tcBorders>
              <w:top w:val="nil"/>
              <w:left w:val="nil"/>
              <w:bottom w:val="nil"/>
              <w:right w:val="nil"/>
            </w:tcBorders>
            <w:shd w:val="clear" w:color="000000" w:fill="CEDBF0"/>
            <w:noWrap/>
            <w:vAlign w:val="bottom"/>
            <w:hideMark/>
          </w:tcPr>
          <w:p w14:paraId="1015FF5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25,7 </w:t>
            </w:r>
          </w:p>
        </w:tc>
      </w:tr>
      <w:tr w:rsidR="00885AA1" w:rsidRPr="00A710CE" w14:paraId="3D6458B8" w14:textId="77777777" w:rsidTr="001F43C9">
        <w:trPr>
          <w:trHeight w:val="300"/>
        </w:trPr>
        <w:tc>
          <w:tcPr>
            <w:tcW w:w="1531" w:type="pct"/>
            <w:tcBorders>
              <w:top w:val="nil"/>
              <w:left w:val="nil"/>
              <w:bottom w:val="nil"/>
              <w:right w:val="nil"/>
            </w:tcBorders>
            <w:shd w:val="clear" w:color="auto" w:fill="auto"/>
            <w:noWrap/>
            <w:vAlign w:val="bottom"/>
            <w:hideMark/>
          </w:tcPr>
          <w:p w14:paraId="68BD0C3C"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Herlev</w:t>
            </w:r>
          </w:p>
        </w:tc>
        <w:tc>
          <w:tcPr>
            <w:tcW w:w="1723" w:type="pct"/>
            <w:tcBorders>
              <w:top w:val="nil"/>
              <w:left w:val="nil"/>
              <w:bottom w:val="nil"/>
              <w:right w:val="nil"/>
            </w:tcBorders>
            <w:shd w:val="clear" w:color="auto" w:fill="auto"/>
            <w:noWrap/>
            <w:vAlign w:val="bottom"/>
            <w:hideMark/>
          </w:tcPr>
          <w:p w14:paraId="378B3BF4"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238,5 </w:t>
            </w:r>
          </w:p>
        </w:tc>
        <w:tc>
          <w:tcPr>
            <w:tcW w:w="1746" w:type="pct"/>
            <w:tcBorders>
              <w:top w:val="nil"/>
              <w:left w:val="nil"/>
              <w:bottom w:val="nil"/>
              <w:right w:val="nil"/>
            </w:tcBorders>
            <w:shd w:val="clear" w:color="auto" w:fill="auto"/>
            <w:noWrap/>
            <w:vAlign w:val="bottom"/>
            <w:hideMark/>
          </w:tcPr>
          <w:p w14:paraId="7387D78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4,8 </w:t>
            </w:r>
          </w:p>
        </w:tc>
      </w:tr>
      <w:tr w:rsidR="00885AA1" w:rsidRPr="00A710CE" w14:paraId="480DD44F" w14:textId="77777777" w:rsidTr="001F43C9">
        <w:trPr>
          <w:trHeight w:val="300"/>
        </w:trPr>
        <w:tc>
          <w:tcPr>
            <w:tcW w:w="1531" w:type="pct"/>
            <w:tcBorders>
              <w:top w:val="nil"/>
              <w:left w:val="nil"/>
              <w:bottom w:val="nil"/>
              <w:right w:val="nil"/>
            </w:tcBorders>
            <w:shd w:val="clear" w:color="000000" w:fill="CEDBF0"/>
            <w:noWrap/>
            <w:vAlign w:val="bottom"/>
            <w:hideMark/>
          </w:tcPr>
          <w:p w14:paraId="4DAC5C4A"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Herning</w:t>
            </w:r>
          </w:p>
        </w:tc>
        <w:tc>
          <w:tcPr>
            <w:tcW w:w="1723" w:type="pct"/>
            <w:tcBorders>
              <w:top w:val="nil"/>
              <w:left w:val="nil"/>
              <w:bottom w:val="nil"/>
              <w:right w:val="nil"/>
            </w:tcBorders>
            <w:shd w:val="clear" w:color="000000" w:fill="CEDBF0"/>
            <w:noWrap/>
            <w:vAlign w:val="bottom"/>
            <w:hideMark/>
          </w:tcPr>
          <w:p w14:paraId="685D6DBA"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611,5 </w:t>
            </w:r>
          </w:p>
        </w:tc>
        <w:tc>
          <w:tcPr>
            <w:tcW w:w="1746" w:type="pct"/>
            <w:tcBorders>
              <w:top w:val="nil"/>
              <w:left w:val="nil"/>
              <w:bottom w:val="nil"/>
              <w:right w:val="nil"/>
            </w:tcBorders>
            <w:shd w:val="clear" w:color="000000" w:fill="CEDBF0"/>
            <w:noWrap/>
            <w:vAlign w:val="bottom"/>
            <w:hideMark/>
          </w:tcPr>
          <w:p w14:paraId="63477985"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23,6 </w:t>
            </w:r>
          </w:p>
        </w:tc>
      </w:tr>
      <w:tr w:rsidR="00885AA1" w:rsidRPr="00A710CE" w14:paraId="73CAC95F" w14:textId="77777777" w:rsidTr="001F43C9">
        <w:trPr>
          <w:trHeight w:val="300"/>
        </w:trPr>
        <w:tc>
          <w:tcPr>
            <w:tcW w:w="1531" w:type="pct"/>
            <w:tcBorders>
              <w:top w:val="nil"/>
              <w:left w:val="nil"/>
              <w:bottom w:val="nil"/>
              <w:right w:val="nil"/>
            </w:tcBorders>
            <w:shd w:val="clear" w:color="auto" w:fill="auto"/>
            <w:noWrap/>
            <w:vAlign w:val="bottom"/>
            <w:hideMark/>
          </w:tcPr>
          <w:p w14:paraId="5596B13E"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Hillerød</w:t>
            </w:r>
          </w:p>
        </w:tc>
        <w:tc>
          <w:tcPr>
            <w:tcW w:w="1723" w:type="pct"/>
            <w:tcBorders>
              <w:top w:val="nil"/>
              <w:left w:val="nil"/>
              <w:bottom w:val="nil"/>
              <w:right w:val="nil"/>
            </w:tcBorders>
            <w:shd w:val="clear" w:color="auto" w:fill="auto"/>
            <w:noWrap/>
            <w:vAlign w:val="bottom"/>
            <w:hideMark/>
          </w:tcPr>
          <w:p w14:paraId="111A6980"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430,2 </w:t>
            </w:r>
          </w:p>
        </w:tc>
        <w:tc>
          <w:tcPr>
            <w:tcW w:w="1746" w:type="pct"/>
            <w:tcBorders>
              <w:top w:val="nil"/>
              <w:left w:val="nil"/>
              <w:bottom w:val="nil"/>
              <w:right w:val="nil"/>
            </w:tcBorders>
            <w:shd w:val="clear" w:color="auto" w:fill="auto"/>
            <w:noWrap/>
            <w:vAlign w:val="bottom"/>
            <w:hideMark/>
          </w:tcPr>
          <w:p w14:paraId="3D4DFC09"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14,3 </w:t>
            </w:r>
          </w:p>
        </w:tc>
      </w:tr>
      <w:tr w:rsidR="00885AA1" w:rsidRPr="00A710CE" w14:paraId="47984400" w14:textId="77777777" w:rsidTr="001F43C9">
        <w:trPr>
          <w:trHeight w:val="300"/>
        </w:trPr>
        <w:tc>
          <w:tcPr>
            <w:tcW w:w="1531" w:type="pct"/>
            <w:tcBorders>
              <w:top w:val="nil"/>
              <w:left w:val="nil"/>
              <w:bottom w:val="nil"/>
              <w:right w:val="nil"/>
            </w:tcBorders>
            <w:shd w:val="clear" w:color="000000" w:fill="CEDBF0"/>
            <w:noWrap/>
            <w:vAlign w:val="bottom"/>
            <w:hideMark/>
          </w:tcPr>
          <w:p w14:paraId="459C3520"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Hjørring</w:t>
            </w:r>
          </w:p>
        </w:tc>
        <w:tc>
          <w:tcPr>
            <w:tcW w:w="1723" w:type="pct"/>
            <w:tcBorders>
              <w:top w:val="nil"/>
              <w:left w:val="nil"/>
              <w:bottom w:val="nil"/>
              <w:right w:val="nil"/>
            </w:tcBorders>
            <w:shd w:val="clear" w:color="000000" w:fill="CEDBF0"/>
            <w:noWrap/>
            <w:vAlign w:val="bottom"/>
            <w:hideMark/>
          </w:tcPr>
          <w:p w14:paraId="14AEF0F5"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569,3 </w:t>
            </w:r>
          </w:p>
        </w:tc>
        <w:tc>
          <w:tcPr>
            <w:tcW w:w="1746" w:type="pct"/>
            <w:tcBorders>
              <w:top w:val="nil"/>
              <w:left w:val="nil"/>
              <w:bottom w:val="nil"/>
              <w:right w:val="nil"/>
            </w:tcBorders>
            <w:shd w:val="clear" w:color="000000" w:fill="CEDBF0"/>
            <w:noWrap/>
            <w:vAlign w:val="bottom"/>
            <w:hideMark/>
          </w:tcPr>
          <w:p w14:paraId="165EA2CD"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12,3 </w:t>
            </w:r>
          </w:p>
        </w:tc>
      </w:tr>
      <w:tr w:rsidR="00885AA1" w:rsidRPr="00A710CE" w14:paraId="2B544F7E" w14:textId="77777777" w:rsidTr="001F43C9">
        <w:trPr>
          <w:trHeight w:val="300"/>
        </w:trPr>
        <w:tc>
          <w:tcPr>
            <w:tcW w:w="1531" w:type="pct"/>
            <w:tcBorders>
              <w:top w:val="nil"/>
              <w:left w:val="nil"/>
              <w:bottom w:val="nil"/>
              <w:right w:val="nil"/>
            </w:tcBorders>
            <w:shd w:val="clear" w:color="auto" w:fill="auto"/>
            <w:noWrap/>
            <w:vAlign w:val="bottom"/>
            <w:hideMark/>
          </w:tcPr>
          <w:p w14:paraId="37759050"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Holbæk</w:t>
            </w:r>
          </w:p>
        </w:tc>
        <w:tc>
          <w:tcPr>
            <w:tcW w:w="1723" w:type="pct"/>
            <w:tcBorders>
              <w:top w:val="nil"/>
              <w:left w:val="nil"/>
              <w:bottom w:val="nil"/>
              <w:right w:val="nil"/>
            </w:tcBorders>
            <w:shd w:val="clear" w:color="auto" w:fill="auto"/>
            <w:noWrap/>
            <w:vAlign w:val="bottom"/>
            <w:hideMark/>
          </w:tcPr>
          <w:p w14:paraId="342E1E83"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530,5 </w:t>
            </w:r>
          </w:p>
        </w:tc>
        <w:tc>
          <w:tcPr>
            <w:tcW w:w="1746" w:type="pct"/>
            <w:tcBorders>
              <w:top w:val="nil"/>
              <w:left w:val="nil"/>
              <w:bottom w:val="nil"/>
              <w:right w:val="nil"/>
            </w:tcBorders>
            <w:shd w:val="clear" w:color="auto" w:fill="auto"/>
            <w:noWrap/>
            <w:vAlign w:val="bottom"/>
            <w:hideMark/>
          </w:tcPr>
          <w:p w14:paraId="68554C12"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17,8 </w:t>
            </w:r>
          </w:p>
        </w:tc>
      </w:tr>
      <w:tr w:rsidR="00885AA1" w:rsidRPr="00A710CE" w14:paraId="34DF7382" w14:textId="77777777" w:rsidTr="001F43C9">
        <w:trPr>
          <w:trHeight w:val="300"/>
        </w:trPr>
        <w:tc>
          <w:tcPr>
            <w:tcW w:w="1531" w:type="pct"/>
            <w:tcBorders>
              <w:top w:val="nil"/>
              <w:left w:val="nil"/>
              <w:bottom w:val="nil"/>
              <w:right w:val="nil"/>
            </w:tcBorders>
            <w:shd w:val="clear" w:color="000000" w:fill="CEDBF0"/>
            <w:noWrap/>
            <w:vAlign w:val="bottom"/>
            <w:hideMark/>
          </w:tcPr>
          <w:p w14:paraId="5C7A5F67"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lastRenderedPageBreak/>
              <w:t>Holstebro</w:t>
            </w:r>
          </w:p>
        </w:tc>
        <w:tc>
          <w:tcPr>
            <w:tcW w:w="1723" w:type="pct"/>
            <w:tcBorders>
              <w:top w:val="nil"/>
              <w:left w:val="nil"/>
              <w:bottom w:val="nil"/>
              <w:right w:val="nil"/>
            </w:tcBorders>
            <w:shd w:val="clear" w:color="000000" w:fill="CEDBF0"/>
            <w:noWrap/>
            <w:vAlign w:val="bottom"/>
            <w:hideMark/>
          </w:tcPr>
          <w:p w14:paraId="5DAAC8F5"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423,0 </w:t>
            </w:r>
          </w:p>
        </w:tc>
        <w:tc>
          <w:tcPr>
            <w:tcW w:w="1746" w:type="pct"/>
            <w:tcBorders>
              <w:top w:val="nil"/>
              <w:left w:val="nil"/>
              <w:bottom w:val="nil"/>
              <w:right w:val="nil"/>
            </w:tcBorders>
            <w:shd w:val="clear" w:color="000000" w:fill="CEDBF0"/>
            <w:noWrap/>
            <w:vAlign w:val="bottom"/>
            <w:hideMark/>
          </w:tcPr>
          <w:p w14:paraId="7BEC5756"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13,7 </w:t>
            </w:r>
          </w:p>
        </w:tc>
      </w:tr>
      <w:tr w:rsidR="00885AA1" w:rsidRPr="00A710CE" w14:paraId="297BE419" w14:textId="77777777" w:rsidTr="001F43C9">
        <w:trPr>
          <w:trHeight w:val="300"/>
        </w:trPr>
        <w:tc>
          <w:tcPr>
            <w:tcW w:w="1531" w:type="pct"/>
            <w:tcBorders>
              <w:top w:val="nil"/>
              <w:left w:val="nil"/>
              <w:bottom w:val="nil"/>
              <w:right w:val="nil"/>
            </w:tcBorders>
            <w:shd w:val="clear" w:color="auto" w:fill="auto"/>
            <w:noWrap/>
            <w:vAlign w:val="bottom"/>
            <w:hideMark/>
          </w:tcPr>
          <w:p w14:paraId="7B5F000A"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Horsens</w:t>
            </w:r>
          </w:p>
        </w:tc>
        <w:tc>
          <w:tcPr>
            <w:tcW w:w="1723" w:type="pct"/>
            <w:tcBorders>
              <w:top w:val="nil"/>
              <w:left w:val="nil"/>
              <w:bottom w:val="nil"/>
              <w:right w:val="nil"/>
            </w:tcBorders>
            <w:shd w:val="clear" w:color="auto" w:fill="auto"/>
            <w:noWrap/>
            <w:vAlign w:val="bottom"/>
            <w:hideMark/>
          </w:tcPr>
          <w:p w14:paraId="06917A3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670,8 </w:t>
            </w:r>
          </w:p>
        </w:tc>
        <w:tc>
          <w:tcPr>
            <w:tcW w:w="1746" w:type="pct"/>
            <w:tcBorders>
              <w:top w:val="nil"/>
              <w:left w:val="nil"/>
              <w:bottom w:val="nil"/>
              <w:right w:val="nil"/>
            </w:tcBorders>
            <w:shd w:val="clear" w:color="auto" w:fill="auto"/>
            <w:noWrap/>
            <w:vAlign w:val="bottom"/>
            <w:hideMark/>
          </w:tcPr>
          <w:p w14:paraId="160A701E"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20,2 </w:t>
            </w:r>
          </w:p>
        </w:tc>
      </w:tr>
      <w:tr w:rsidR="00885AA1" w:rsidRPr="00A710CE" w14:paraId="6B00188F" w14:textId="77777777" w:rsidTr="001F43C9">
        <w:trPr>
          <w:trHeight w:val="300"/>
        </w:trPr>
        <w:tc>
          <w:tcPr>
            <w:tcW w:w="1531" w:type="pct"/>
            <w:tcBorders>
              <w:top w:val="nil"/>
              <w:left w:val="nil"/>
              <w:bottom w:val="nil"/>
              <w:right w:val="nil"/>
            </w:tcBorders>
            <w:shd w:val="clear" w:color="000000" w:fill="CEDBF0"/>
            <w:noWrap/>
            <w:vAlign w:val="bottom"/>
            <w:hideMark/>
          </w:tcPr>
          <w:p w14:paraId="10EA6B93"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Hvidovre</w:t>
            </w:r>
          </w:p>
        </w:tc>
        <w:tc>
          <w:tcPr>
            <w:tcW w:w="1723" w:type="pct"/>
            <w:tcBorders>
              <w:top w:val="nil"/>
              <w:left w:val="nil"/>
              <w:bottom w:val="nil"/>
              <w:right w:val="nil"/>
            </w:tcBorders>
            <w:shd w:val="clear" w:color="000000" w:fill="CEDBF0"/>
            <w:noWrap/>
            <w:vAlign w:val="bottom"/>
            <w:hideMark/>
          </w:tcPr>
          <w:p w14:paraId="0C2DADBD"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489,4 </w:t>
            </w:r>
          </w:p>
        </w:tc>
        <w:tc>
          <w:tcPr>
            <w:tcW w:w="1746" w:type="pct"/>
            <w:tcBorders>
              <w:top w:val="nil"/>
              <w:left w:val="nil"/>
              <w:bottom w:val="nil"/>
              <w:right w:val="nil"/>
            </w:tcBorders>
            <w:shd w:val="clear" w:color="000000" w:fill="CEDBF0"/>
            <w:noWrap/>
            <w:vAlign w:val="bottom"/>
            <w:hideMark/>
          </w:tcPr>
          <w:p w14:paraId="4F6EDC23"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7,1 </w:t>
            </w:r>
          </w:p>
        </w:tc>
      </w:tr>
      <w:tr w:rsidR="00885AA1" w:rsidRPr="00A710CE" w14:paraId="7DF711E8" w14:textId="77777777" w:rsidTr="001F43C9">
        <w:trPr>
          <w:trHeight w:val="300"/>
        </w:trPr>
        <w:tc>
          <w:tcPr>
            <w:tcW w:w="1531" w:type="pct"/>
            <w:tcBorders>
              <w:top w:val="nil"/>
              <w:left w:val="nil"/>
              <w:bottom w:val="nil"/>
              <w:right w:val="nil"/>
            </w:tcBorders>
            <w:shd w:val="clear" w:color="auto" w:fill="auto"/>
            <w:noWrap/>
            <w:vAlign w:val="bottom"/>
            <w:hideMark/>
          </w:tcPr>
          <w:p w14:paraId="7DBB0AB9"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Høje-Taastrup</w:t>
            </w:r>
          </w:p>
        </w:tc>
        <w:tc>
          <w:tcPr>
            <w:tcW w:w="1723" w:type="pct"/>
            <w:tcBorders>
              <w:top w:val="nil"/>
              <w:left w:val="nil"/>
              <w:bottom w:val="nil"/>
              <w:right w:val="nil"/>
            </w:tcBorders>
            <w:shd w:val="clear" w:color="auto" w:fill="auto"/>
            <w:noWrap/>
            <w:vAlign w:val="bottom"/>
            <w:hideMark/>
          </w:tcPr>
          <w:p w14:paraId="0B976740"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352,0 </w:t>
            </w:r>
          </w:p>
        </w:tc>
        <w:tc>
          <w:tcPr>
            <w:tcW w:w="1746" w:type="pct"/>
            <w:tcBorders>
              <w:top w:val="nil"/>
              <w:left w:val="nil"/>
              <w:bottom w:val="nil"/>
              <w:right w:val="nil"/>
            </w:tcBorders>
            <w:shd w:val="clear" w:color="auto" w:fill="auto"/>
            <w:noWrap/>
            <w:vAlign w:val="bottom"/>
            <w:hideMark/>
          </w:tcPr>
          <w:p w14:paraId="4A60C875"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13,7 </w:t>
            </w:r>
          </w:p>
        </w:tc>
      </w:tr>
      <w:tr w:rsidR="00885AA1" w:rsidRPr="00A710CE" w14:paraId="1EE88AB4" w14:textId="77777777" w:rsidTr="001F43C9">
        <w:trPr>
          <w:trHeight w:val="300"/>
        </w:trPr>
        <w:tc>
          <w:tcPr>
            <w:tcW w:w="1531" w:type="pct"/>
            <w:tcBorders>
              <w:top w:val="nil"/>
              <w:left w:val="nil"/>
              <w:bottom w:val="nil"/>
              <w:right w:val="nil"/>
            </w:tcBorders>
            <w:shd w:val="clear" w:color="000000" w:fill="CEDBF0"/>
            <w:noWrap/>
            <w:vAlign w:val="bottom"/>
            <w:hideMark/>
          </w:tcPr>
          <w:p w14:paraId="0A76F695"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Hørsholm</w:t>
            </w:r>
          </w:p>
        </w:tc>
        <w:tc>
          <w:tcPr>
            <w:tcW w:w="1723" w:type="pct"/>
            <w:tcBorders>
              <w:top w:val="nil"/>
              <w:left w:val="nil"/>
              <w:bottom w:val="nil"/>
              <w:right w:val="nil"/>
            </w:tcBorders>
            <w:shd w:val="clear" w:color="000000" w:fill="CEDBF0"/>
            <w:noWrap/>
            <w:vAlign w:val="bottom"/>
            <w:hideMark/>
          </w:tcPr>
          <w:p w14:paraId="10DE6B01"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267,5 </w:t>
            </w:r>
          </w:p>
        </w:tc>
        <w:tc>
          <w:tcPr>
            <w:tcW w:w="1746" w:type="pct"/>
            <w:tcBorders>
              <w:top w:val="nil"/>
              <w:left w:val="nil"/>
              <w:bottom w:val="nil"/>
              <w:right w:val="nil"/>
            </w:tcBorders>
            <w:shd w:val="clear" w:color="000000" w:fill="CEDBF0"/>
            <w:noWrap/>
            <w:vAlign w:val="bottom"/>
            <w:hideMark/>
          </w:tcPr>
          <w:p w14:paraId="3FBBB3AB"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5,6 </w:t>
            </w:r>
          </w:p>
        </w:tc>
      </w:tr>
      <w:tr w:rsidR="00885AA1" w:rsidRPr="00A710CE" w14:paraId="6F75EF80" w14:textId="77777777" w:rsidTr="001F43C9">
        <w:trPr>
          <w:trHeight w:val="300"/>
        </w:trPr>
        <w:tc>
          <w:tcPr>
            <w:tcW w:w="1531" w:type="pct"/>
            <w:tcBorders>
              <w:top w:val="nil"/>
              <w:left w:val="nil"/>
              <w:bottom w:val="nil"/>
              <w:right w:val="nil"/>
            </w:tcBorders>
            <w:shd w:val="clear" w:color="auto" w:fill="auto"/>
            <w:noWrap/>
            <w:vAlign w:val="bottom"/>
            <w:hideMark/>
          </w:tcPr>
          <w:p w14:paraId="5A1DDE3A"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Ikast-Brande</w:t>
            </w:r>
          </w:p>
        </w:tc>
        <w:tc>
          <w:tcPr>
            <w:tcW w:w="1723" w:type="pct"/>
            <w:tcBorders>
              <w:top w:val="nil"/>
              <w:left w:val="nil"/>
              <w:bottom w:val="nil"/>
              <w:right w:val="nil"/>
            </w:tcBorders>
            <w:shd w:val="clear" w:color="auto" w:fill="auto"/>
            <w:noWrap/>
            <w:vAlign w:val="bottom"/>
            <w:hideMark/>
          </w:tcPr>
          <w:p w14:paraId="46E331CF"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330,5 </w:t>
            </w:r>
          </w:p>
        </w:tc>
        <w:tc>
          <w:tcPr>
            <w:tcW w:w="1746" w:type="pct"/>
            <w:tcBorders>
              <w:top w:val="nil"/>
              <w:left w:val="nil"/>
              <w:bottom w:val="nil"/>
              <w:right w:val="nil"/>
            </w:tcBorders>
            <w:shd w:val="clear" w:color="auto" w:fill="auto"/>
            <w:noWrap/>
            <w:vAlign w:val="bottom"/>
            <w:hideMark/>
          </w:tcPr>
          <w:p w14:paraId="14FAAAC4"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12,1 </w:t>
            </w:r>
          </w:p>
        </w:tc>
      </w:tr>
      <w:tr w:rsidR="00885AA1" w:rsidRPr="00A710CE" w14:paraId="09C620DB" w14:textId="77777777" w:rsidTr="001F43C9">
        <w:trPr>
          <w:trHeight w:val="300"/>
        </w:trPr>
        <w:tc>
          <w:tcPr>
            <w:tcW w:w="1531" w:type="pct"/>
            <w:tcBorders>
              <w:top w:val="nil"/>
              <w:left w:val="nil"/>
              <w:bottom w:val="nil"/>
              <w:right w:val="nil"/>
            </w:tcBorders>
            <w:shd w:val="clear" w:color="000000" w:fill="CEDBF0"/>
            <w:noWrap/>
            <w:vAlign w:val="bottom"/>
            <w:hideMark/>
          </w:tcPr>
          <w:p w14:paraId="1A71FA96"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Ishøj</w:t>
            </w:r>
          </w:p>
        </w:tc>
        <w:tc>
          <w:tcPr>
            <w:tcW w:w="1723" w:type="pct"/>
            <w:tcBorders>
              <w:top w:val="nil"/>
              <w:left w:val="nil"/>
              <w:bottom w:val="nil"/>
              <w:right w:val="nil"/>
            </w:tcBorders>
            <w:shd w:val="clear" w:color="000000" w:fill="CEDBF0"/>
            <w:noWrap/>
            <w:vAlign w:val="bottom"/>
            <w:hideMark/>
          </w:tcPr>
          <w:p w14:paraId="21A7145A"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142,6 </w:t>
            </w:r>
          </w:p>
        </w:tc>
        <w:tc>
          <w:tcPr>
            <w:tcW w:w="1746" w:type="pct"/>
            <w:tcBorders>
              <w:top w:val="nil"/>
              <w:left w:val="nil"/>
              <w:bottom w:val="nil"/>
              <w:right w:val="nil"/>
            </w:tcBorders>
            <w:shd w:val="clear" w:color="000000" w:fill="CEDBF0"/>
            <w:noWrap/>
            <w:vAlign w:val="bottom"/>
            <w:hideMark/>
          </w:tcPr>
          <w:p w14:paraId="21C47B9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8,2 </w:t>
            </w:r>
          </w:p>
        </w:tc>
      </w:tr>
      <w:tr w:rsidR="00885AA1" w:rsidRPr="00A710CE" w14:paraId="06FFB17B" w14:textId="77777777" w:rsidTr="001F43C9">
        <w:trPr>
          <w:trHeight w:val="300"/>
        </w:trPr>
        <w:tc>
          <w:tcPr>
            <w:tcW w:w="1531" w:type="pct"/>
            <w:tcBorders>
              <w:top w:val="nil"/>
              <w:left w:val="nil"/>
              <w:bottom w:val="nil"/>
              <w:right w:val="nil"/>
            </w:tcBorders>
            <w:shd w:val="clear" w:color="auto" w:fill="auto"/>
            <w:noWrap/>
            <w:vAlign w:val="bottom"/>
            <w:hideMark/>
          </w:tcPr>
          <w:p w14:paraId="10E73299"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Jammerbugt</w:t>
            </w:r>
          </w:p>
        </w:tc>
        <w:tc>
          <w:tcPr>
            <w:tcW w:w="1723" w:type="pct"/>
            <w:tcBorders>
              <w:top w:val="nil"/>
              <w:left w:val="nil"/>
              <w:bottom w:val="nil"/>
              <w:right w:val="nil"/>
            </w:tcBorders>
            <w:shd w:val="clear" w:color="auto" w:fill="auto"/>
            <w:noWrap/>
            <w:vAlign w:val="bottom"/>
            <w:hideMark/>
          </w:tcPr>
          <w:p w14:paraId="108CE489"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337,2 </w:t>
            </w:r>
          </w:p>
        </w:tc>
        <w:tc>
          <w:tcPr>
            <w:tcW w:w="1746" w:type="pct"/>
            <w:tcBorders>
              <w:top w:val="nil"/>
              <w:left w:val="nil"/>
              <w:bottom w:val="nil"/>
              <w:right w:val="nil"/>
            </w:tcBorders>
            <w:shd w:val="clear" w:color="auto" w:fill="auto"/>
            <w:noWrap/>
            <w:vAlign w:val="bottom"/>
            <w:hideMark/>
          </w:tcPr>
          <w:p w14:paraId="0828242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11,3 </w:t>
            </w:r>
          </w:p>
        </w:tc>
      </w:tr>
      <w:tr w:rsidR="00885AA1" w:rsidRPr="00A710CE" w14:paraId="18E9413B" w14:textId="77777777" w:rsidTr="001F43C9">
        <w:trPr>
          <w:trHeight w:val="300"/>
        </w:trPr>
        <w:tc>
          <w:tcPr>
            <w:tcW w:w="1531" w:type="pct"/>
            <w:tcBorders>
              <w:top w:val="nil"/>
              <w:left w:val="nil"/>
              <w:bottom w:val="nil"/>
              <w:right w:val="nil"/>
            </w:tcBorders>
            <w:shd w:val="clear" w:color="000000" w:fill="CEDBF0"/>
            <w:noWrap/>
            <w:vAlign w:val="bottom"/>
            <w:hideMark/>
          </w:tcPr>
          <w:p w14:paraId="1A486FD6"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Kalundborg</w:t>
            </w:r>
          </w:p>
        </w:tc>
        <w:tc>
          <w:tcPr>
            <w:tcW w:w="1723" w:type="pct"/>
            <w:tcBorders>
              <w:top w:val="nil"/>
              <w:left w:val="nil"/>
              <w:bottom w:val="nil"/>
              <w:right w:val="nil"/>
            </w:tcBorders>
            <w:shd w:val="clear" w:color="000000" w:fill="CEDBF0"/>
            <w:noWrap/>
            <w:vAlign w:val="bottom"/>
            <w:hideMark/>
          </w:tcPr>
          <w:p w14:paraId="67F72866"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423,7 </w:t>
            </w:r>
          </w:p>
        </w:tc>
        <w:tc>
          <w:tcPr>
            <w:tcW w:w="1746" w:type="pct"/>
            <w:tcBorders>
              <w:top w:val="nil"/>
              <w:left w:val="nil"/>
              <w:bottom w:val="nil"/>
              <w:right w:val="nil"/>
            </w:tcBorders>
            <w:shd w:val="clear" w:color="000000" w:fill="CEDBF0"/>
            <w:noWrap/>
            <w:vAlign w:val="bottom"/>
            <w:hideMark/>
          </w:tcPr>
          <w:p w14:paraId="0FD5D216"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13,2 </w:t>
            </w:r>
          </w:p>
        </w:tc>
      </w:tr>
      <w:tr w:rsidR="00885AA1" w:rsidRPr="00A710CE" w14:paraId="253C0714" w14:textId="77777777" w:rsidTr="001F43C9">
        <w:trPr>
          <w:trHeight w:val="300"/>
        </w:trPr>
        <w:tc>
          <w:tcPr>
            <w:tcW w:w="1531" w:type="pct"/>
            <w:tcBorders>
              <w:top w:val="nil"/>
              <w:left w:val="nil"/>
              <w:bottom w:val="nil"/>
              <w:right w:val="nil"/>
            </w:tcBorders>
            <w:shd w:val="clear" w:color="auto" w:fill="auto"/>
            <w:noWrap/>
            <w:vAlign w:val="bottom"/>
            <w:hideMark/>
          </w:tcPr>
          <w:p w14:paraId="4778207E"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Kerteminde</w:t>
            </w:r>
          </w:p>
        </w:tc>
        <w:tc>
          <w:tcPr>
            <w:tcW w:w="1723" w:type="pct"/>
            <w:tcBorders>
              <w:top w:val="nil"/>
              <w:left w:val="nil"/>
              <w:bottom w:val="nil"/>
              <w:right w:val="nil"/>
            </w:tcBorders>
            <w:shd w:val="clear" w:color="auto" w:fill="auto"/>
            <w:noWrap/>
            <w:vAlign w:val="bottom"/>
            <w:hideMark/>
          </w:tcPr>
          <w:p w14:paraId="6683541E"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239,2 </w:t>
            </w:r>
          </w:p>
        </w:tc>
        <w:tc>
          <w:tcPr>
            <w:tcW w:w="1746" w:type="pct"/>
            <w:tcBorders>
              <w:top w:val="nil"/>
              <w:left w:val="nil"/>
              <w:bottom w:val="nil"/>
              <w:right w:val="nil"/>
            </w:tcBorders>
            <w:shd w:val="clear" w:color="auto" w:fill="auto"/>
            <w:noWrap/>
            <w:vAlign w:val="bottom"/>
            <w:hideMark/>
          </w:tcPr>
          <w:p w14:paraId="573EF4A3"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8,4 </w:t>
            </w:r>
          </w:p>
        </w:tc>
      </w:tr>
      <w:tr w:rsidR="00885AA1" w:rsidRPr="00A710CE" w14:paraId="098C7B23" w14:textId="77777777" w:rsidTr="001F43C9">
        <w:trPr>
          <w:trHeight w:val="300"/>
        </w:trPr>
        <w:tc>
          <w:tcPr>
            <w:tcW w:w="1531" w:type="pct"/>
            <w:tcBorders>
              <w:top w:val="nil"/>
              <w:left w:val="nil"/>
              <w:bottom w:val="nil"/>
              <w:right w:val="nil"/>
            </w:tcBorders>
            <w:shd w:val="clear" w:color="000000" w:fill="CEDBF0"/>
            <w:noWrap/>
            <w:vAlign w:val="bottom"/>
            <w:hideMark/>
          </w:tcPr>
          <w:p w14:paraId="0AE85965"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Kolding</w:t>
            </w:r>
          </w:p>
        </w:tc>
        <w:tc>
          <w:tcPr>
            <w:tcW w:w="1723" w:type="pct"/>
            <w:tcBorders>
              <w:top w:val="nil"/>
              <w:left w:val="nil"/>
              <w:bottom w:val="nil"/>
              <w:right w:val="nil"/>
            </w:tcBorders>
            <w:shd w:val="clear" w:color="000000" w:fill="CEDBF0"/>
            <w:noWrap/>
            <w:vAlign w:val="bottom"/>
            <w:hideMark/>
          </w:tcPr>
          <w:p w14:paraId="0EBA23FA"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716,8 </w:t>
            </w:r>
          </w:p>
        </w:tc>
        <w:tc>
          <w:tcPr>
            <w:tcW w:w="1746" w:type="pct"/>
            <w:tcBorders>
              <w:top w:val="nil"/>
              <w:left w:val="nil"/>
              <w:bottom w:val="nil"/>
              <w:right w:val="nil"/>
            </w:tcBorders>
            <w:shd w:val="clear" w:color="000000" w:fill="CEDBF0"/>
            <w:noWrap/>
            <w:vAlign w:val="bottom"/>
            <w:hideMark/>
          </w:tcPr>
          <w:p w14:paraId="1602EEB6"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22,9 </w:t>
            </w:r>
          </w:p>
        </w:tc>
      </w:tr>
      <w:tr w:rsidR="00885AA1" w:rsidRPr="00A710CE" w14:paraId="68A6007C" w14:textId="77777777" w:rsidTr="001F43C9">
        <w:trPr>
          <w:trHeight w:val="300"/>
        </w:trPr>
        <w:tc>
          <w:tcPr>
            <w:tcW w:w="1531" w:type="pct"/>
            <w:tcBorders>
              <w:top w:val="nil"/>
              <w:left w:val="nil"/>
              <w:bottom w:val="nil"/>
              <w:right w:val="nil"/>
            </w:tcBorders>
            <w:shd w:val="clear" w:color="auto" w:fill="auto"/>
            <w:noWrap/>
            <w:vAlign w:val="bottom"/>
            <w:hideMark/>
          </w:tcPr>
          <w:p w14:paraId="6D5C97F9"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København</w:t>
            </w:r>
          </w:p>
        </w:tc>
        <w:tc>
          <w:tcPr>
            <w:tcW w:w="1723" w:type="pct"/>
            <w:tcBorders>
              <w:top w:val="nil"/>
              <w:left w:val="nil"/>
              <w:bottom w:val="nil"/>
              <w:right w:val="nil"/>
            </w:tcBorders>
            <w:shd w:val="clear" w:color="auto" w:fill="auto"/>
            <w:noWrap/>
            <w:vAlign w:val="bottom"/>
            <w:hideMark/>
          </w:tcPr>
          <w:p w14:paraId="143F1662"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3.753,0 </w:t>
            </w:r>
          </w:p>
        </w:tc>
        <w:tc>
          <w:tcPr>
            <w:tcW w:w="1746" w:type="pct"/>
            <w:tcBorders>
              <w:top w:val="nil"/>
              <w:left w:val="nil"/>
              <w:bottom w:val="nil"/>
              <w:right w:val="nil"/>
            </w:tcBorders>
            <w:shd w:val="clear" w:color="auto" w:fill="auto"/>
            <w:noWrap/>
            <w:vAlign w:val="bottom"/>
            <w:hideMark/>
          </w:tcPr>
          <w:p w14:paraId="534A68DE"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72,2 </w:t>
            </w:r>
          </w:p>
        </w:tc>
      </w:tr>
      <w:tr w:rsidR="00885AA1" w:rsidRPr="00A710CE" w14:paraId="11A5B2CB" w14:textId="77777777" w:rsidTr="001F43C9">
        <w:trPr>
          <w:trHeight w:val="300"/>
        </w:trPr>
        <w:tc>
          <w:tcPr>
            <w:tcW w:w="1531" w:type="pct"/>
            <w:tcBorders>
              <w:top w:val="nil"/>
              <w:left w:val="nil"/>
              <w:bottom w:val="nil"/>
              <w:right w:val="nil"/>
            </w:tcBorders>
            <w:shd w:val="clear" w:color="000000" w:fill="CEDBF0"/>
            <w:noWrap/>
            <w:vAlign w:val="bottom"/>
            <w:hideMark/>
          </w:tcPr>
          <w:p w14:paraId="436D8E35"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Køge</w:t>
            </w:r>
          </w:p>
        </w:tc>
        <w:tc>
          <w:tcPr>
            <w:tcW w:w="1723" w:type="pct"/>
            <w:tcBorders>
              <w:top w:val="nil"/>
              <w:left w:val="nil"/>
              <w:bottom w:val="nil"/>
              <w:right w:val="nil"/>
            </w:tcBorders>
            <w:shd w:val="clear" w:color="000000" w:fill="CEDBF0"/>
            <w:noWrap/>
            <w:vAlign w:val="bottom"/>
            <w:hideMark/>
          </w:tcPr>
          <w:p w14:paraId="5CF55614"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523,0 </w:t>
            </w:r>
          </w:p>
        </w:tc>
        <w:tc>
          <w:tcPr>
            <w:tcW w:w="1746" w:type="pct"/>
            <w:tcBorders>
              <w:top w:val="nil"/>
              <w:left w:val="nil"/>
              <w:bottom w:val="nil"/>
              <w:right w:val="nil"/>
            </w:tcBorders>
            <w:shd w:val="clear" w:color="000000" w:fill="CEDBF0"/>
            <w:noWrap/>
            <w:vAlign w:val="bottom"/>
            <w:hideMark/>
          </w:tcPr>
          <w:p w14:paraId="4AF41A6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19,0 </w:t>
            </w:r>
          </w:p>
        </w:tc>
      </w:tr>
      <w:tr w:rsidR="00885AA1" w:rsidRPr="00A710CE" w14:paraId="033AACE3" w14:textId="77777777" w:rsidTr="001F43C9">
        <w:trPr>
          <w:trHeight w:val="300"/>
        </w:trPr>
        <w:tc>
          <w:tcPr>
            <w:tcW w:w="1531" w:type="pct"/>
            <w:tcBorders>
              <w:top w:val="nil"/>
              <w:left w:val="nil"/>
              <w:bottom w:val="nil"/>
              <w:right w:val="nil"/>
            </w:tcBorders>
            <w:shd w:val="clear" w:color="auto" w:fill="auto"/>
            <w:noWrap/>
            <w:vAlign w:val="bottom"/>
            <w:hideMark/>
          </w:tcPr>
          <w:p w14:paraId="1CC8D344"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Langeland</w:t>
            </w:r>
          </w:p>
        </w:tc>
        <w:tc>
          <w:tcPr>
            <w:tcW w:w="1723" w:type="pct"/>
            <w:tcBorders>
              <w:top w:val="nil"/>
              <w:left w:val="nil"/>
              <w:bottom w:val="nil"/>
              <w:right w:val="nil"/>
            </w:tcBorders>
            <w:shd w:val="clear" w:color="auto" w:fill="auto"/>
            <w:noWrap/>
            <w:vAlign w:val="bottom"/>
            <w:hideMark/>
          </w:tcPr>
          <w:p w14:paraId="5F5D900C"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218,9 </w:t>
            </w:r>
          </w:p>
        </w:tc>
        <w:tc>
          <w:tcPr>
            <w:tcW w:w="1746" w:type="pct"/>
            <w:tcBorders>
              <w:top w:val="nil"/>
              <w:left w:val="nil"/>
              <w:bottom w:val="nil"/>
              <w:right w:val="nil"/>
            </w:tcBorders>
            <w:shd w:val="clear" w:color="auto" w:fill="auto"/>
            <w:noWrap/>
            <w:vAlign w:val="bottom"/>
            <w:hideMark/>
          </w:tcPr>
          <w:p w14:paraId="236C0CFB"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3,5 </w:t>
            </w:r>
          </w:p>
        </w:tc>
      </w:tr>
      <w:tr w:rsidR="00885AA1" w:rsidRPr="00A710CE" w14:paraId="37AB21F2" w14:textId="77777777" w:rsidTr="001F43C9">
        <w:trPr>
          <w:trHeight w:val="300"/>
        </w:trPr>
        <w:tc>
          <w:tcPr>
            <w:tcW w:w="1531" w:type="pct"/>
            <w:tcBorders>
              <w:top w:val="nil"/>
              <w:left w:val="nil"/>
              <w:bottom w:val="nil"/>
              <w:right w:val="nil"/>
            </w:tcBorders>
            <w:shd w:val="clear" w:color="000000" w:fill="CEDBF0"/>
            <w:noWrap/>
            <w:vAlign w:val="bottom"/>
            <w:hideMark/>
          </w:tcPr>
          <w:p w14:paraId="7D0740AD"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Lejre</w:t>
            </w:r>
          </w:p>
        </w:tc>
        <w:tc>
          <w:tcPr>
            <w:tcW w:w="1723" w:type="pct"/>
            <w:tcBorders>
              <w:top w:val="nil"/>
              <w:left w:val="nil"/>
              <w:bottom w:val="nil"/>
              <w:right w:val="nil"/>
            </w:tcBorders>
            <w:shd w:val="clear" w:color="000000" w:fill="CEDBF0"/>
            <w:noWrap/>
            <w:vAlign w:val="bottom"/>
            <w:hideMark/>
          </w:tcPr>
          <w:p w14:paraId="1A49203E"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204,5 </w:t>
            </w:r>
          </w:p>
        </w:tc>
        <w:tc>
          <w:tcPr>
            <w:tcW w:w="1746" w:type="pct"/>
            <w:tcBorders>
              <w:top w:val="nil"/>
              <w:left w:val="nil"/>
              <w:bottom w:val="nil"/>
              <w:right w:val="nil"/>
            </w:tcBorders>
            <w:shd w:val="clear" w:color="000000" w:fill="CEDBF0"/>
            <w:noWrap/>
            <w:vAlign w:val="bottom"/>
            <w:hideMark/>
          </w:tcPr>
          <w:p w14:paraId="0266AA9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7,9 </w:t>
            </w:r>
          </w:p>
        </w:tc>
      </w:tr>
      <w:tr w:rsidR="00885AA1" w:rsidRPr="00A710CE" w14:paraId="17F11FDF" w14:textId="77777777" w:rsidTr="001F43C9">
        <w:trPr>
          <w:trHeight w:val="300"/>
        </w:trPr>
        <w:tc>
          <w:tcPr>
            <w:tcW w:w="1531" w:type="pct"/>
            <w:tcBorders>
              <w:top w:val="nil"/>
              <w:left w:val="nil"/>
              <w:bottom w:val="nil"/>
              <w:right w:val="nil"/>
            </w:tcBorders>
            <w:shd w:val="clear" w:color="auto" w:fill="auto"/>
            <w:noWrap/>
            <w:vAlign w:val="bottom"/>
            <w:hideMark/>
          </w:tcPr>
          <w:p w14:paraId="3B421882"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Lemvig</w:t>
            </w:r>
          </w:p>
        </w:tc>
        <w:tc>
          <w:tcPr>
            <w:tcW w:w="1723" w:type="pct"/>
            <w:tcBorders>
              <w:top w:val="nil"/>
              <w:left w:val="nil"/>
              <w:bottom w:val="nil"/>
              <w:right w:val="nil"/>
            </w:tcBorders>
            <w:shd w:val="clear" w:color="auto" w:fill="auto"/>
            <w:noWrap/>
            <w:vAlign w:val="bottom"/>
            <w:hideMark/>
          </w:tcPr>
          <w:p w14:paraId="71B30AAA"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187,0 </w:t>
            </w:r>
          </w:p>
        </w:tc>
        <w:tc>
          <w:tcPr>
            <w:tcW w:w="1746" w:type="pct"/>
            <w:tcBorders>
              <w:top w:val="nil"/>
              <w:left w:val="nil"/>
              <w:bottom w:val="nil"/>
              <w:right w:val="nil"/>
            </w:tcBorders>
            <w:shd w:val="clear" w:color="auto" w:fill="auto"/>
            <w:noWrap/>
            <w:vAlign w:val="bottom"/>
            <w:hideMark/>
          </w:tcPr>
          <w:p w14:paraId="7CAD1AFC"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6,8 </w:t>
            </w:r>
          </w:p>
        </w:tc>
      </w:tr>
      <w:tr w:rsidR="00885AA1" w:rsidRPr="00A710CE" w14:paraId="44B818E7" w14:textId="77777777" w:rsidTr="001F43C9">
        <w:trPr>
          <w:trHeight w:val="300"/>
        </w:trPr>
        <w:tc>
          <w:tcPr>
            <w:tcW w:w="1531" w:type="pct"/>
            <w:tcBorders>
              <w:top w:val="nil"/>
              <w:left w:val="nil"/>
              <w:bottom w:val="nil"/>
              <w:right w:val="nil"/>
            </w:tcBorders>
            <w:shd w:val="clear" w:color="000000" w:fill="CEDBF0"/>
            <w:noWrap/>
            <w:vAlign w:val="bottom"/>
            <w:hideMark/>
          </w:tcPr>
          <w:p w14:paraId="18607E43"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Lolland</w:t>
            </w:r>
          </w:p>
        </w:tc>
        <w:tc>
          <w:tcPr>
            <w:tcW w:w="1723" w:type="pct"/>
            <w:tcBorders>
              <w:top w:val="nil"/>
              <w:left w:val="nil"/>
              <w:bottom w:val="nil"/>
              <w:right w:val="nil"/>
            </w:tcBorders>
            <w:shd w:val="clear" w:color="000000" w:fill="CEDBF0"/>
            <w:noWrap/>
            <w:vAlign w:val="bottom"/>
            <w:hideMark/>
          </w:tcPr>
          <w:p w14:paraId="48D8986C"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526,7 </w:t>
            </w:r>
          </w:p>
        </w:tc>
        <w:tc>
          <w:tcPr>
            <w:tcW w:w="1746" w:type="pct"/>
            <w:tcBorders>
              <w:top w:val="nil"/>
              <w:left w:val="nil"/>
              <w:bottom w:val="nil"/>
              <w:right w:val="nil"/>
            </w:tcBorders>
            <w:shd w:val="clear" w:color="000000" w:fill="CEDBF0"/>
            <w:noWrap/>
            <w:vAlign w:val="bottom"/>
            <w:hideMark/>
          </w:tcPr>
          <w:p w14:paraId="385C3709"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13,3 </w:t>
            </w:r>
          </w:p>
        </w:tc>
      </w:tr>
      <w:tr w:rsidR="00885AA1" w:rsidRPr="00A710CE" w14:paraId="72F12221" w14:textId="77777777" w:rsidTr="001F43C9">
        <w:trPr>
          <w:trHeight w:val="300"/>
        </w:trPr>
        <w:tc>
          <w:tcPr>
            <w:tcW w:w="1531" w:type="pct"/>
            <w:tcBorders>
              <w:top w:val="nil"/>
              <w:left w:val="nil"/>
              <w:bottom w:val="nil"/>
              <w:right w:val="nil"/>
            </w:tcBorders>
            <w:shd w:val="clear" w:color="auto" w:fill="auto"/>
            <w:noWrap/>
            <w:vAlign w:val="bottom"/>
            <w:hideMark/>
          </w:tcPr>
          <w:p w14:paraId="65A03E71"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Lyngby-Taarbæk</w:t>
            </w:r>
          </w:p>
        </w:tc>
        <w:tc>
          <w:tcPr>
            <w:tcW w:w="1723" w:type="pct"/>
            <w:tcBorders>
              <w:top w:val="nil"/>
              <w:left w:val="nil"/>
              <w:bottom w:val="nil"/>
              <w:right w:val="nil"/>
            </w:tcBorders>
            <w:shd w:val="clear" w:color="auto" w:fill="auto"/>
            <w:noWrap/>
            <w:vAlign w:val="bottom"/>
            <w:hideMark/>
          </w:tcPr>
          <w:p w14:paraId="4F885DCD"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550,3 </w:t>
            </w:r>
          </w:p>
        </w:tc>
        <w:tc>
          <w:tcPr>
            <w:tcW w:w="1746" w:type="pct"/>
            <w:tcBorders>
              <w:top w:val="nil"/>
              <w:left w:val="nil"/>
              <w:bottom w:val="nil"/>
              <w:right w:val="nil"/>
            </w:tcBorders>
            <w:shd w:val="clear" w:color="auto" w:fill="auto"/>
            <w:noWrap/>
            <w:vAlign w:val="bottom"/>
            <w:hideMark/>
          </w:tcPr>
          <w:p w14:paraId="3D8358C4"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4,8 </w:t>
            </w:r>
          </w:p>
        </w:tc>
      </w:tr>
      <w:tr w:rsidR="00885AA1" w:rsidRPr="00A710CE" w14:paraId="7817C523" w14:textId="77777777" w:rsidTr="001F43C9">
        <w:trPr>
          <w:trHeight w:val="300"/>
        </w:trPr>
        <w:tc>
          <w:tcPr>
            <w:tcW w:w="1531" w:type="pct"/>
            <w:tcBorders>
              <w:top w:val="nil"/>
              <w:left w:val="nil"/>
              <w:bottom w:val="nil"/>
              <w:right w:val="nil"/>
            </w:tcBorders>
            <w:shd w:val="clear" w:color="000000" w:fill="CEDBF0"/>
            <w:noWrap/>
            <w:vAlign w:val="bottom"/>
            <w:hideMark/>
          </w:tcPr>
          <w:p w14:paraId="27B73E68"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Læsø</w:t>
            </w:r>
          </w:p>
        </w:tc>
        <w:tc>
          <w:tcPr>
            <w:tcW w:w="1723" w:type="pct"/>
            <w:tcBorders>
              <w:top w:val="nil"/>
              <w:left w:val="nil"/>
              <w:bottom w:val="nil"/>
              <w:right w:val="nil"/>
            </w:tcBorders>
            <w:shd w:val="clear" w:color="000000" w:fill="CEDBF0"/>
            <w:noWrap/>
            <w:vAlign w:val="bottom"/>
            <w:hideMark/>
          </w:tcPr>
          <w:p w14:paraId="3BE1DD5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36,4 </w:t>
            </w:r>
          </w:p>
        </w:tc>
        <w:tc>
          <w:tcPr>
            <w:tcW w:w="1746" w:type="pct"/>
            <w:tcBorders>
              <w:top w:val="nil"/>
              <w:left w:val="nil"/>
              <w:bottom w:val="nil"/>
              <w:right w:val="nil"/>
            </w:tcBorders>
            <w:shd w:val="clear" w:color="000000" w:fill="CEDBF0"/>
            <w:noWrap/>
            <w:vAlign w:val="bottom"/>
            <w:hideMark/>
          </w:tcPr>
          <w:p w14:paraId="62F55055"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2,5 </w:t>
            </w:r>
          </w:p>
        </w:tc>
      </w:tr>
      <w:tr w:rsidR="00885AA1" w:rsidRPr="00A710CE" w14:paraId="25CD02E1" w14:textId="77777777" w:rsidTr="001F43C9">
        <w:trPr>
          <w:trHeight w:val="300"/>
        </w:trPr>
        <w:tc>
          <w:tcPr>
            <w:tcW w:w="1531" w:type="pct"/>
            <w:tcBorders>
              <w:top w:val="nil"/>
              <w:left w:val="nil"/>
              <w:bottom w:val="nil"/>
              <w:right w:val="nil"/>
            </w:tcBorders>
            <w:shd w:val="clear" w:color="auto" w:fill="auto"/>
            <w:noWrap/>
            <w:vAlign w:val="bottom"/>
            <w:hideMark/>
          </w:tcPr>
          <w:p w14:paraId="42F2BE02"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Mariagerfjord</w:t>
            </w:r>
          </w:p>
        </w:tc>
        <w:tc>
          <w:tcPr>
            <w:tcW w:w="1723" w:type="pct"/>
            <w:tcBorders>
              <w:top w:val="nil"/>
              <w:left w:val="nil"/>
              <w:bottom w:val="nil"/>
              <w:right w:val="nil"/>
            </w:tcBorders>
            <w:shd w:val="clear" w:color="auto" w:fill="auto"/>
            <w:noWrap/>
            <w:vAlign w:val="bottom"/>
            <w:hideMark/>
          </w:tcPr>
          <w:p w14:paraId="75703AF3"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369,8 </w:t>
            </w:r>
          </w:p>
        </w:tc>
        <w:tc>
          <w:tcPr>
            <w:tcW w:w="1746" w:type="pct"/>
            <w:tcBorders>
              <w:top w:val="nil"/>
              <w:left w:val="nil"/>
              <w:bottom w:val="nil"/>
              <w:right w:val="nil"/>
            </w:tcBorders>
            <w:shd w:val="clear" w:color="auto" w:fill="auto"/>
            <w:noWrap/>
            <w:vAlign w:val="bottom"/>
            <w:hideMark/>
          </w:tcPr>
          <w:p w14:paraId="6D926F84"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12,1 </w:t>
            </w:r>
          </w:p>
        </w:tc>
      </w:tr>
      <w:tr w:rsidR="00885AA1" w:rsidRPr="00A710CE" w14:paraId="5B704F00" w14:textId="77777777" w:rsidTr="001F43C9">
        <w:trPr>
          <w:trHeight w:val="300"/>
        </w:trPr>
        <w:tc>
          <w:tcPr>
            <w:tcW w:w="1531" w:type="pct"/>
            <w:tcBorders>
              <w:top w:val="nil"/>
              <w:left w:val="nil"/>
              <w:bottom w:val="nil"/>
              <w:right w:val="nil"/>
            </w:tcBorders>
            <w:shd w:val="clear" w:color="000000" w:fill="CEDBF0"/>
            <w:noWrap/>
            <w:vAlign w:val="bottom"/>
            <w:hideMark/>
          </w:tcPr>
          <w:p w14:paraId="44F4492E"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Middelfart</w:t>
            </w:r>
          </w:p>
        </w:tc>
        <w:tc>
          <w:tcPr>
            <w:tcW w:w="1723" w:type="pct"/>
            <w:tcBorders>
              <w:top w:val="nil"/>
              <w:left w:val="nil"/>
              <w:bottom w:val="nil"/>
              <w:right w:val="nil"/>
            </w:tcBorders>
            <w:shd w:val="clear" w:color="000000" w:fill="CEDBF0"/>
            <w:noWrap/>
            <w:vAlign w:val="bottom"/>
            <w:hideMark/>
          </w:tcPr>
          <w:p w14:paraId="6AA84293"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324,8 </w:t>
            </w:r>
          </w:p>
        </w:tc>
        <w:tc>
          <w:tcPr>
            <w:tcW w:w="1746" w:type="pct"/>
            <w:tcBorders>
              <w:top w:val="nil"/>
              <w:left w:val="nil"/>
              <w:bottom w:val="nil"/>
              <w:right w:val="nil"/>
            </w:tcBorders>
            <w:shd w:val="clear" w:color="000000" w:fill="CEDBF0"/>
            <w:noWrap/>
            <w:vAlign w:val="bottom"/>
            <w:hideMark/>
          </w:tcPr>
          <w:p w14:paraId="540EEB93"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15,3 </w:t>
            </w:r>
          </w:p>
        </w:tc>
      </w:tr>
      <w:tr w:rsidR="00885AA1" w:rsidRPr="00A710CE" w14:paraId="015D2EC1" w14:textId="77777777" w:rsidTr="001F43C9">
        <w:trPr>
          <w:trHeight w:val="300"/>
        </w:trPr>
        <w:tc>
          <w:tcPr>
            <w:tcW w:w="1531" w:type="pct"/>
            <w:tcBorders>
              <w:top w:val="nil"/>
              <w:left w:val="nil"/>
              <w:bottom w:val="nil"/>
              <w:right w:val="nil"/>
            </w:tcBorders>
            <w:shd w:val="clear" w:color="auto" w:fill="auto"/>
            <w:noWrap/>
            <w:vAlign w:val="bottom"/>
            <w:hideMark/>
          </w:tcPr>
          <w:p w14:paraId="7E93A2B7"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Morsø</w:t>
            </w:r>
          </w:p>
        </w:tc>
        <w:tc>
          <w:tcPr>
            <w:tcW w:w="1723" w:type="pct"/>
            <w:tcBorders>
              <w:top w:val="nil"/>
              <w:left w:val="nil"/>
              <w:bottom w:val="nil"/>
              <w:right w:val="nil"/>
            </w:tcBorders>
            <w:shd w:val="clear" w:color="auto" w:fill="auto"/>
            <w:noWrap/>
            <w:vAlign w:val="bottom"/>
            <w:hideMark/>
          </w:tcPr>
          <w:p w14:paraId="00D64005"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257,5 </w:t>
            </w:r>
          </w:p>
        </w:tc>
        <w:tc>
          <w:tcPr>
            <w:tcW w:w="1746" w:type="pct"/>
            <w:tcBorders>
              <w:top w:val="nil"/>
              <w:left w:val="nil"/>
              <w:bottom w:val="nil"/>
              <w:right w:val="nil"/>
            </w:tcBorders>
            <w:shd w:val="clear" w:color="auto" w:fill="auto"/>
            <w:noWrap/>
            <w:vAlign w:val="bottom"/>
            <w:hideMark/>
          </w:tcPr>
          <w:p w14:paraId="3662A4E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4,5 </w:t>
            </w:r>
          </w:p>
        </w:tc>
      </w:tr>
      <w:tr w:rsidR="00885AA1" w:rsidRPr="00A710CE" w14:paraId="48085261" w14:textId="77777777" w:rsidTr="001F43C9">
        <w:trPr>
          <w:trHeight w:val="300"/>
        </w:trPr>
        <w:tc>
          <w:tcPr>
            <w:tcW w:w="1531" w:type="pct"/>
            <w:tcBorders>
              <w:top w:val="nil"/>
              <w:left w:val="nil"/>
              <w:bottom w:val="nil"/>
              <w:right w:val="nil"/>
            </w:tcBorders>
            <w:shd w:val="clear" w:color="000000" w:fill="CEDBF0"/>
            <w:noWrap/>
            <w:vAlign w:val="bottom"/>
            <w:hideMark/>
          </w:tcPr>
          <w:p w14:paraId="6ED75237"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Norddjurs</w:t>
            </w:r>
          </w:p>
        </w:tc>
        <w:tc>
          <w:tcPr>
            <w:tcW w:w="1723" w:type="pct"/>
            <w:tcBorders>
              <w:top w:val="nil"/>
              <w:left w:val="nil"/>
              <w:bottom w:val="nil"/>
              <w:right w:val="nil"/>
            </w:tcBorders>
            <w:shd w:val="clear" w:color="000000" w:fill="CEDBF0"/>
            <w:noWrap/>
            <w:vAlign w:val="bottom"/>
            <w:hideMark/>
          </w:tcPr>
          <w:p w14:paraId="5579F959"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375,4 </w:t>
            </w:r>
          </w:p>
        </w:tc>
        <w:tc>
          <w:tcPr>
            <w:tcW w:w="1746" w:type="pct"/>
            <w:tcBorders>
              <w:top w:val="nil"/>
              <w:left w:val="nil"/>
              <w:bottom w:val="nil"/>
              <w:right w:val="nil"/>
            </w:tcBorders>
            <w:shd w:val="clear" w:color="000000" w:fill="CEDBF0"/>
            <w:noWrap/>
            <w:vAlign w:val="bottom"/>
            <w:hideMark/>
          </w:tcPr>
          <w:p w14:paraId="435FA9F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11,0 </w:t>
            </w:r>
          </w:p>
        </w:tc>
      </w:tr>
      <w:tr w:rsidR="00885AA1" w:rsidRPr="00A710CE" w14:paraId="03ACFFC2" w14:textId="77777777" w:rsidTr="001F43C9">
        <w:trPr>
          <w:trHeight w:val="300"/>
        </w:trPr>
        <w:tc>
          <w:tcPr>
            <w:tcW w:w="1531" w:type="pct"/>
            <w:tcBorders>
              <w:top w:val="nil"/>
              <w:left w:val="nil"/>
              <w:bottom w:val="nil"/>
              <w:right w:val="nil"/>
            </w:tcBorders>
            <w:shd w:val="clear" w:color="auto" w:fill="auto"/>
            <w:noWrap/>
            <w:vAlign w:val="bottom"/>
            <w:hideMark/>
          </w:tcPr>
          <w:p w14:paraId="024D316D"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Nordfyns</w:t>
            </w:r>
          </w:p>
        </w:tc>
        <w:tc>
          <w:tcPr>
            <w:tcW w:w="1723" w:type="pct"/>
            <w:tcBorders>
              <w:top w:val="nil"/>
              <w:left w:val="nil"/>
              <w:bottom w:val="nil"/>
              <w:right w:val="nil"/>
            </w:tcBorders>
            <w:shd w:val="clear" w:color="auto" w:fill="auto"/>
            <w:noWrap/>
            <w:vAlign w:val="bottom"/>
            <w:hideMark/>
          </w:tcPr>
          <w:p w14:paraId="666DE26F"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244,2 </w:t>
            </w:r>
          </w:p>
        </w:tc>
        <w:tc>
          <w:tcPr>
            <w:tcW w:w="1746" w:type="pct"/>
            <w:tcBorders>
              <w:top w:val="nil"/>
              <w:left w:val="nil"/>
              <w:bottom w:val="nil"/>
              <w:right w:val="nil"/>
            </w:tcBorders>
            <w:shd w:val="clear" w:color="auto" w:fill="auto"/>
            <w:noWrap/>
            <w:vAlign w:val="bottom"/>
            <w:hideMark/>
          </w:tcPr>
          <w:p w14:paraId="2094B33D"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10,8 </w:t>
            </w:r>
          </w:p>
        </w:tc>
      </w:tr>
      <w:tr w:rsidR="00885AA1" w:rsidRPr="00A710CE" w14:paraId="0D9D7FDF" w14:textId="77777777" w:rsidTr="001F43C9">
        <w:trPr>
          <w:trHeight w:val="300"/>
        </w:trPr>
        <w:tc>
          <w:tcPr>
            <w:tcW w:w="1531" w:type="pct"/>
            <w:tcBorders>
              <w:top w:val="nil"/>
              <w:left w:val="nil"/>
              <w:bottom w:val="nil"/>
              <w:right w:val="nil"/>
            </w:tcBorders>
            <w:shd w:val="clear" w:color="000000" w:fill="CEDBF0"/>
            <w:noWrap/>
            <w:vAlign w:val="bottom"/>
            <w:hideMark/>
          </w:tcPr>
          <w:p w14:paraId="1EDC6BBA"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Nyborg</w:t>
            </w:r>
          </w:p>
        </w:tc>
        <w:tc>
          <w:tcPr>
            <w:tcW w:w="1723" w:type="pct"/>
            <w:tcBorders>
              <w:top w:val="nil"/>
              <w:left w:val="nil"/>
              <w:bottom w:val="nil"/>
              <w:right w:val="nil"/>
            </w:tcBorders>
            <w:shd w:val="clear" w:color="000000" w:fill="CEDBF0"/>
            <w:noWrap/>
            <w:vAlign w:val="bottom"/>
            <w:hideMark/>
          </w:tcPr>
          <w:p w14:paraId="091D858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311,0 </w:t>
            </w:r>
          </w:p>
        </w:tc>
        <w:tc>
          <w:tcPr>
            <w:tcW w:w="1746" w:type="pct"/>
            <w:tcBorders>
              <w:top w:val="nil"/>
              <w:left w:val="nil"/>
              <w:bottom w:val="nil"/>
              <w:right w:val="nil"/>
            </w:tcBorders>
            <w:shd w:val="clear" w:color="000000" w:fill="CEDBF0"/>
            <w:noWrap/>
            <w:vAlign w:val="bottom"/>
            <w:hideMark/>
          </w:tcPr>
          <w:p w14:paraId="4C98666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9,4 </w:t>
            </w:r>
          </w:p>
        </w:tc>
      </w:tr>
      <w:tr w:rsidR="00885AA1" w:rsidRPr="00A710CE" w14:paraId="4DAEF372" w14:textId="77777777" w:rsidTr="001F43C9">
        <w:trPr>
          <w:trHeight w:val="300"/>
        </w:trPr>
        <w:tc>
          <w:tcPr>
            <w:tcW w:w="1531" w:type="pct"/>
            <w:tcBorders>
              <w:top w:val="nil"/>
              <w:left w:val="nil"/>
              <w:bottom w:val="nil"/>
              <w:right w:val="nil"/>
            </w:tcBorders>
            <w:shd w:val="clear" w:color="auto" w:fill="auto"/>
            <w:noWrap/>
            <w:vAlign w:val="bottom"/>
            <w:hideMark/>
          </w:tcPr>
          <w:p w14:paraId="6E3F4A8D"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Næstved</w:t>
            </w:r>
          </w:p>
        </w:tc>
        <w:tc>
          <w:tcPr>
            <w:tcW w:w="1723" w:type="pct"/>
            <w:tcBorders>
              <w:top w:val="nil"/>
              <w:left w:val="nil"/>
              <w:bottom w:val="nil"/>
              <w:right w:val="nil"/>
            </w:tcBorders>
            <w:shd w:val="clear" w:color="auto" w:fill="auto"/>
            <w:noWrap/>
            <w:vAlign w:val="bottom"/>
            <w:hideMark/>
          </w:tcPr>
          <w:p w14:paraId="0D1BFA70"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708,4 </w:t>
            </w:r>
          </w:p>
        </w:tc>
        <w:tc>
          <w:tcPr>
            <w:tcW w:w="1746" w:type="pct"/>
            <w:tcBorders>
              <w:top w:val="nil"/>
              <w:left w:val="nil"/>
              <w:bottom w:val="nil"/>
              <w:right w:val="nil"/>
            </w:tcBorders>
            <w:shd w:val="clear" w:color="auto" w:fill="auto"/>
            <w:noWrap/>
            <w:vAlign w:val="bottom"/>
            <w:hideMark/>
          </w:tcPr>
          <w:p w14:paraId="05634DDE"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25,0 </w:t>
            </w:r>
          </w:p>
        </w:tc>
      </w:tr>
      <w:tr w:rsidR="00885AA1" w:rsidRPr="00A710CE" w14:paraId="70A51E42" w14:textId="77777777" w:rsidTr="001F43C9">
        <w:trPr>
          <w:trHeight w:val="300"/>
        </w:trPr>
        <w:tc>
          <w:tcPr>
            <w:tcW w:w="1531" w:type="pct"/>
            <w:tcBorders>
              <w:top w:val="nil"/>
              <w:left w:val="nil"/>
              <w:bottom w:val="nil"/>
              <w:right w:val="nil"/>
            </w:tcBorders>
            <w:shd w:val="clear" w:color="000000" w:fill="CEDBF0"/>
            <w:noWrap/>
            <w:vAlign w:val="bottom"/>
            <w:hideMark/>
          </w:tcPr>
          <w:p w14:paraId="4BBE464A"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Odder</w:t>
            </w:r>
          </w:p>
        </w:tc>
        <w:tc>
          <w:tcPr>
            <w:tcW w:w="1723" w:type="pct"/>
            <w:tcBorders>
              <w:top w:val="nil"/>
              <w:left w:val="nil"/>
              <w:bottom w:val="nil"/>
              <w:right w:val="nil"/>
            </w:tcBorders>
            <w:shd w:val="clear" w:color="000000" w:fill="CEDBF0"/>
            <w:noWrap/>
            <w:vAlign w:val="bottom"/>
            <w:hideMark/>
          </w:tcPr>
          <w:p w14:paraId="5D9B519C"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211,4 </w:t>
            </w:r>
          </w:p>
        </w:tc>
        <w:tc>
          <w:tcPr>
            <w:tcW w:w="1746" w:type="pct"/>
            <w:tcBorders>
              <w:top w:val="nil"/>
              <w:left w:val="nil"/>
              <w:bottom w:val="nil"/>
              <w:right w:val="nil"/>
            </w:tcBorders>
            <w:shd w:val="clear" w:color="000000" w:fill="CEDBF0"/>
            <w:noWrap/>
            <w:vAlign w:val="bottom"/>
            <w:hideMark/>
          </w:tcPr>
          <w:p w14:paraId="2A96A783"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7,1 </w:t>
            </w:r>
          </w:p>
        </w:tc>
      </w:tr>
      <w:tr w:rsidR="00885AA1" w:rsidRPr="00A710CE" w14:paraId="7A29A72B" w14:textId="77777777" w:rsidTr="001F43C9">
        <w:trPr>
          <w:trHeight w:val="300"/>
        </w:trPr>
        <w:tc>
          <w:tcPr>
            <w:tcW w:w="1531" w:type="pct"/>
            <w:tcBorders>
              <w:top w:val="nil"/>
              <w:left w:val="nil"/>
              <w:bottom w:val="nil"/>
              <w:right w:val="nil"/>
            </w:tcBorders>
            <w:shd w:val="clear" w:color="auto" w:fill="auto"/>
            <w:noWrap/>
            <w:vAlign w:val="bottom"/>
            <w:hideMark/>
          </w:tcPr>
          <w:p w14:paraId="0986C9BC"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Odense</w:t>
            </w:r>
          </w:p>
        </w:tc>
        <w:tc>
          <w:tcPr>
            <w:tcW w:w="1723" w:type="pct"/>
            <w:tcBorders>
              <w:top w:val="nil"/>
              <w:left w:val="nil"/>
              <w:bottom w:val="nil"/>
              <w:right w:val="nil"/>
            </w:tcBorders>
            <w:shd w:val="clear" w:color="auto" w:fill="auto"/>
            <w:noWrap/>
            <w:vAlign w:val="bottom"/>
            <w:hideMark/>
          </w:tcPr>
          <w:p w14:paraId="12F5D93D"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1.452,4 </w:t>
            </w:r>
          </w:p>
        </w:tc>
        <w:tc>
          <w:tcPr>
            <w:tcW w:w="1746" w:type="pct"/>
            <w:tcBorders>
              <w:top w:val="nil"/>
              <w:left w:val="nil"/>
              <w:bottom w:val="nil"/>
              <w:right w:val="nil"/>
            </w:tcBorders>
            <w:shd w:val="clear" w:color="auto" w:fill="auto"/>
            <w:noWrap/>
            <w:vAlign w:val="bottom"/>
            <w:hideMark/>
          </w:tcPr>
          <w:p w14:paraId="7C9BA584"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37,4 </w:t>
            </w:r>
          </w:p>
        </w:tc>
      </w:tr>
      <w:tr w:rsidR="00885AA1" w:rsidRPr="00A710CE" w14:paraId="59AC61E3" w14:textId="77777777" w:rsidTr="001F43C9">
        <w:trPr>
          <w:trHeight w:val="300"/>
        </w:trPr>
        <w:tc>
          <w:tcPr>
            <w:tcW w:w="1531" w:type="pct"/>
            <w:tcBorders>
              <w:top w:val="nil"/>
              <w:left w:val="nil"/>
              <w:bottom w:val="nil"/>
              <w:right w:val="nil"/>
            </w:tcBorders>
            <w:shd w:val="clear" w:color="000000" w:fill="CEDBF0"/>
            <w:noWrap/>
            <w:vAlign w:val="bottom"/>
            <w:hideMark/>
          </w:tcPr>
          <w:p w14:paraId="2AFF2451"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Odsherred</w:t>
            </w:r>
          </w:p>
        </w:tc>
        <w:tc>
          <w:tcPr>
            <w:tcW w:w="1723" w:type="pct"/>
            <w:tcBorders>
              <w:top w:val="nil"/>
              <w:left w:val="nil"/>
              <w:bottom w:val="nil"/>
              <w:right w:val="nil"/>
            </w:tcBorders>
            <w:shd w:val="clear" w:color="000000" w:fill="CEDBF0"/>
            <w:noWrap/>
            <w:vAlign w:val="bottom"/>
            <w:hideMark/>
          </w:tcPr>
          <w:p w14:paraId="19210F7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366,8 </w:t>
            </w:r>
          </w:p>
        </w:tc>
        <w:tc>
          <w:tcPr>
            <w:tcW w:w="1746" w:type="pct"/>
            <w:tcBorders>
              <w:top w:val="nil"/>
              <w:left w:val="nil"/>
              <w:bottom w:val="nil"/>
              <w:right w:val="nil"/>
            </w:tcBorders>
            <w:shd w:val="clear" w:color="000000" w:fill="CEDBF0"/>
            <w:noWrap/>
            <w:vAlign w:val="bottom"/>
            <w:hideMark/>
          </w:tcPr>
          <w:p w14:paraId="245B327B"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15,2 </w:t>
            </w:r>
          </w:p>
        </w:tc>
      </w:tr>
      <w:tr w:rsidR="00885AA1" w:rsidRPr="00A710CE" w14:paraId="1C76F455" w14:textId="77777777" w:rsidTr="001F43C9">
        <w:trPr>
          <w:trHeight w:val="300"/>
        </w:trPr>
        <w:tc>
          <w:tcPr>
            <w:tcW w:w="1531" w:type="pct"/>
            <w:tcBorders>
              <w:top w:val="nil"/>
              <w:left w:val="nil"/>
              <w:bottom w:val="nil"/>
              <w:right w:val="nil"/>
            </w:tcBorders>
            <w:shd w:val="clear" w:color="auto" w:fill="auto"/>
            <w:noWrap/>
            <w:vAlign w:val="bottom"/>
            <w:hideMark/>
          </w:tcPr>
          <w:p w14:paraId="45342D10"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Randers</w:t>
            </w:r>
          </w:p>
        </w:tc>
        <w:tc>
          <w:tcPr>
            <w:tcW w:w="1723" w:type="pct"/>
            <w:tcBorders>
              <w:top w:val="nil"/>
              <w:left w:val="nil"/>
              <w:bottom w:val="nil"/>
              <w:right w:val="nil"/>
            </w:tcBorders>
            <w:shd w:val="clear" w:color="auto" w:fill="auto"/>
            <w:noWrap/>
            <w:vAlign w:val="bottom"/>
            <w:hideMark/>
          </w:tcPr>
          <w:p w14:paraId="7DB1925B"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897,9 </w:t>
            </w:r>
          </w:p>
        </w:tc>
        <w:tc>
          <w:tcPr>
            <w:tcW w:w="1746" w:type="pct"/>
            <w:tcBorders>
              <w:top w:val="nil"/>
              <w:left w:val="nil"/>
              <w:bottom w:val="nil"/>
              <w:right w:val="nil"/>
            </w:tcBorders>
            <w:shd w:val="clear" w:color="auto" w:fill="auto"/>
            <w:noWrap/>
            <w:vAlign w:val="bottom"/>
            <w:hideMark/>
          </w:tcPr>
          <w:p w14:paraId="20489B35"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28,9 </w:t>
            </w:r>
          </w:p>
        </w:tc>
      </w:tr>
      <w:tr w:rsidR="00885AA1" w:rsidRPr="00A710CE" w14:paraId="4B684251" w14:textId="77777777" w:rsidTr="001F43C9">
        <w:trPr>
          <w:trHeight w:val="300"/>
        </w:trPr>
        <w:tc>
          <w:tcPr>
            <w:tcW w:w="1531" w:type="pct"/>
            <w:tcBorders>
              <w:top w:val="nil"/>
              <w:left w:val="nil"/>
              <w:bottom w:val="nil"/>
              <w:right w:val="nil"/>
            </w:tcBorders>
            <w:shd w:val="clear" w:color="000000" w:fill="CEDBF0"/>
            <w:noWrap/>
            <w:vAlign w:val="bottom"/>
            <w:hideMark/>
          </w:tcPr>
          <w:p w14:paraId="1A881D93"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Rebild</w:t>
            </w:r>
          </w:p>
        </w:tc>
        <w:tc>
          <w:tcPr>
            <w:tcW w:w="1723" w:type="pct"/>
            <w:tcBorders>
              <w:top w:val="nil"/>
              <w:left w:val="nil"/>
              <w:bottom w:val="nil"/>
              <w:right w:val="nil"/>
            </w:tcBorders>
            <w:shd w:val="clear" w:color="000000" w:fill="CEDBF0"/>
            <w:noWrap/>
            <w:vAlign w:val="bottom"/>
            <w:hideMark/>
          </w:tcPr>
          <w:p w14:paraId="72E348D2"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246,2 </w:t>
            </w:r>
          </w:p>
        </w:tc>
        <w:tc>
          <w:tcPr>
            <w:tcW w:w="1746" w:type="pct"/>
            <w:tcBorders>
              <w:top w:val="nil"/>
              <w:left w:val="nil"/>
              <w:bottom w:val="nil"/>
              <w:right w:val="nil"/>
            </w:tcBorders>
            <w:shd w:val="clear" w:color="000000" w:fill="CEDBF0"/>
            <w:noWrap/>
            <w:vAlign w:val="bottom"/>
            <w:hideMark/>
          </w:tcPr>
          <w:p w14:paraId="146D97E1"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8,9 </w:t>
            </w:r>
          </w:p>
        </w:tc>
      </w:tr>
      <w:tr w:rsidR="00885AA1" w:rsidRPr="00A710CE" w14:paraId="566CE348" w14:textId="77777777" w:rsidTr="001F43C9">
        <w:trPr>
          <w:trHeight w:val="300"/>
        </w:trPr>
        <w:tc>
          <w:tcPr>
            <w:tcW w:w="1531" w:type="pct"/>
            <w:tcBorders>
              <w:top w:val="nil"/>
              <w:left w:val="nil"/>
              <w:bottom w:val="nil"/>
              <w:right w:val="nil"/>
            </w:tcBorders>
            <w:shd w:val="clear" w:color="auto" w:fill="auto"/>
            <w:noWrap/>
            <w:vAlign w:val="bottom"/>
            <w:hideMark/>
          </w:tcPr>
          <w:p w14:paraId="79C50460"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Ringkøbing-Skjern</w:t>
            </w:r>
          </w:p>
        </w:tc>
        <w:tc>
          <w:tcPr>
            <w:tcW w:w="1723" w:type="pct"/>
            <w:tcBorders>
              <w:top w:val="nil"/>
              <w:left w:val="nil"/>
              <w:bottom w:val="nil"/>
              <w:right w:val="nil"/>
            </w:tcBorders>
            <w:shd w:val="clear" w:color="auto" w:fill="auto"/>
            <w:noWrap/>
            <w:vAlign w:val="bottom"/>
            <w:hideMark/>
          </w:tcPr>
          <w:p w14:paraId="1645C6BF"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477,7 </w:t>
            </w:r>
          </w:p>
        </w:tc>
        <w:tc>
          <w:tcPr>
            <w:tcW w:w="1746" w:type="pct"/>
            <w:tcBorders>
              <w:top w:val="nil"/>
              <w:left w:val="nil"/>
              <w:bottom w:val="nil"/>
              <w:right w:val="nil"/>
            </w:tcBorders>
            <w:shd w:val="clear" w:color="auto" w:fill="auto"/>
            <w:noWrap/>
            <w:vAlign w:val="bottom"/>
            <w:hideMark/>
          </w:tcPr>
          <w:p w14:paraId="0DE64835"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13,8 </w:t>
            </w:r>
          </w:p>
        </w:tc>
      </w:tr>
      <w:tr w:rsidR="00885AA1" w:rsidRPr="00A710CE" w14:paraId="3D83EA6F" w14:textId="77777777" w:rsidTr="001F43C9">
        <w:trPr>
          <w:trHeight w:val="300"/>
        </w:trPr>
        <w:tc>
          <w:tcPr>
            <w:tcW w:w="1531" w:type="pct"/>
            <w:tcBorders>
              <w:top w:val="nil"/>
              <w:left w:val="nil"/>
              <w:bottom w:val="nil"/>
              <w:right w:val="nil"/>
            </w:tcBorders>
            <w:shd w:val="clear" w:color="000000" w:fill="CEDBF0"/>
            <w:noWrap/>
            <w:vAlign w:val="bottom"/>
            <w:hideMark/>
          </w:tcPr>
          <w:p w14:paraId="2A582CAE"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Ringsted</w:t>
            </w:r>
          </w:p>
        </w:tc>
        <w:tc>
          <w:tcPr>
            <w:tcW w:w="1723" w:type="pct"/>
            <w:tcBorders>
              <w:top w:val="nil"/>
              <w:left w:val="nil"/>
              <w:bottom w:val="nil"/>
              <w:right w:val="nil"/>
            </w:tcBorders>
            <w:shd w:val="clear" w:color="000000" w:fill="CEDBF0"/>
            <w:noWrap/>
            <w:vAlign w:val="bottom"/>
            <w:hideMark/>
          </w:tcPr>
          <w:p w14:paraId="13B6DBCA"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248,7 </w:t>
            </w:r>
          </w:p>
        </w:tc>
        <w:tc>
          <w:tcPr>
            <w:tcW w:w="1746" w:type="pct"/>
            <w:tcBorders>
              <w:top w:val="nil"/>
              <w:left w:val="nil"/>
              <w:bottom w:val="nil"/>
              <w:right w:val="nil"/>
            </w:tcBorders>
            <w:shd w:val="clear" w:color="000000" w:fill="CEDBF0"/>
            <w:noWrap/>
            <w:vAlign w:val="bottom"/>
            <w:hideMark/>
          </w:tcPr>
          <w:p w14:paraId="691AA04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7,6 </w:t>
            </w:r>
          </w:p>
        </w:tc>
      </w:tr>
      <w:tr w:rsidR="00885AA1" w:rsidRPr="00A710CE" w14:paraId="0C727F2E" w14:textId="77777777" w:rsidTr="001F43C9">
        <w:trPr>
          <w:trHeight w:val="300"/>
        </w:trPr>
        <w:tc>
          <w:tcPr>
            <w:tcW w:w="1531" w:type="pct"/>
            <w:tcBorders>
              <w:top w:val="nil"/>
              <w:left w:val="nil"/>
              <w:bottom w:val="nil"/>
              <w:right w:val="nil"/>
            </w:tcBorders>
            <w:shd w:val="clear" w:color="auto" w:fill="auto"/>
            <w:noWrap/>
            <w:vAlign w:val="bottom"/>
            <w:hideMark/>
          </w:tcPr>
          <w:p w14:paraId="08C57CF8"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Roskilde</w:t>
            </w:r>
          </w:p>
        </w:tc>
        <w:tc>
          <w:tcPr>
            <w:tcW w:w="1723" w:type="pct"/>
            <w:tcBorders>
              <w:top w:val="nil"/>
              <w:left w:val="nil"/>
              <w:bottom w:val="nil"/>
              <w:right w:val="nil"/>
            </w:tcBorders>
            <w:shd w:val="clear" w:color="auto" w:fill="auto"/>
            <w:noWrap/>
            <w:vAlign w:val="bottom"/>
            <w:hideMark/>
          </w:tcPr>
          <w:p w14:paraId="1B57E500"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612,6 </w:t>
            </w:r>
          </w:p>
        </w:tc>
        <w:tc>
          <w:tcPr>
            <w:tcW w:w="1746" w:type="pct"/>
            <w:tcBorders>
              <w:top w:val="nil"/>
              <w:left w:val="nil"/>
              <w:bottom w:val="nil"/>
              <w:right w:val="nil"/>
            </w:tcBorders>
            <w:shd w:val="clear" w:color="auto" w:fill="auto"/>
            <w:noWrap/>
            <w:vAlign w:val="bottom"/>
            <w:hideMark/>
          </w:tcPr>
          <w:p w14:paraId="15F8FF9A"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19,2 </w:t>
            </w:r>
          </w:p>
        </w:tc>
      </w:tr>
      <w:tr w:rsidR="00885AA1" w:rsidRPr="00A710CE" w14:paraId="2217AE15" w14:textId="77777777" w:rsidTr="001F43C9">
        <w:trPr>
          <w:trHeight w:val="300"/>
        </w:trPr>
        <w:tc>
          <w:tcPr>
            <w:tcW w:w="1531" w:type="pct"/>
            <w:tcBorders>
              <w:top w:val="nil"/>
              <w:left w:val="nil"/>
              <w:bottom w:val="nil"/>
              <w:right w:val="nil"/>
            </w:tcBorders>
            <w:shd w:val="clear" w:color="000000" w:fill="CEDBF0"/>
            <w:noWrap/>
            <w:vAlign w:val="bottom"/>
            <w:hideMark/>
          </w:tcPr>
          <w:p w14:paraId="1F85BF16"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Rudersdal</w:t>
            </w:r>
          </w:p>
        </w:tc>
        <w:tc>
          <w:tcPr>
            <w:tcW w:w="1723" w:type="pct"/>
            <w:tcBorders>
              <w:top w:val="nil"/>
              <w:left w:val="nil"/>
              <w:bottom w:val="nil"/>
              <w:right w:val="nil"/>
            </w:tcBorders>
            <w:shd w:val="clear" w:color="000000" w:fill="CEDBF0"/>
            <w:noWrap/>
            <w:vAlign w:val="bottom"/>
            <w:hideMark/>
          </w:tcPr>
          <w:p w14:paraId="69006B62"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602,5 </w:t>
            </w:r>
          </w:p>
        </w:tc>
        <w:tc>
          <w:tcPr>
            <w:tcW w:w="1746" w:type="pct"/>
            <w:tcBorders>
              <w:top w:val="nil"/>
              <w:left w:val="nil"/>
              <w:bottom w:val="nil"/>
              <w:right w:val="nil"/>
            </w:tcBorders>
            <w:shd w:val="clear" w:color="000000" w:fill="CEDBF0"/>
            <w:noWrap/>
            <w:vAlign w:val="bottom"/>
            <w:hideMark/>
          </w:tcPr>
          <w:p w14:paraId="502477E0"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8,9 </w:t>
            </w:r>
          </w:p>
        </w:tc>
      </w:tr>
      <w:tr w:rsidR="00885AA1" w:rsidRPr="00A710CE" w14:paraId="3BDB83CF" w14:textId="77777777" w:rsidTr="001F43C9">
        <w:trPr>
          <w:trHeight w:val="300"/>
        </w:trPr>
        <w:tc>
          <w:tcPr>
            <w:tcW w:w="1531" w:type="pct"/>
            <w:tcBorders>
              <w:top w:val="nil"/>
              <w:left w:val="nil"/>
              <w:bottom w:val="nil"/>
              <w:right w:val="nil"/>
            </w:tcBorders>
            <w:shd w:val="clear" w:color="auto" w:fill="auto"/>
            <w:noWrap/>
            <w:vAlign w:val="bottom"/>
            <w:hideMark/>
          </w:tcPr>
          <w:p w14:paraId="017E3014"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Rødovre</w:t>
            </w:r>
          </w:p>
        </w:tc>
        <w:tc>
          <w:tcPr>
            <w:tcW w:w="1723" w:type="pct"/>
            <w:tcBorders>
              <w:top w:val="nil"/>
              <w:left w:val="nil"/>
              <w:bottom w:val="nil"/>
              <w:right w:val="nil"/>
            </w:tcBorders>
            <w:shd w:val="clear" w:color="auto" w:fill="auto"/>
            <w:noWrap/>
            <w:vAlign w:val="bottom"/>
            <w:hideMark/>
          </w:tcPr>
          <w:p w14:paraId="61071793"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421,0 </w:t>
            </w:r>
          </w:p>
        </w:tc>
        <w:tc>
          <w:tcPr>
            <w:tcW w:w="1746" w:type="pct"/>
            <w:tcBorders>
              <w:top w:val="nil"/>
              <w:left w:val="nil"/>
              <w:bottom w:val="nil"/>
              <w:right w:val="nil"/>
            </w:tcBorders>
            <w:shd w:val="clear" w:color="auto" w:fill="auto"/>
            <w:noWrap/>
            <w:vAlign w:val="bottom"/>
            <w:hideMark/>
          </w:tcPr>
          <w:p w14:paraId="682057F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5,4 </w:t>
            </w:r>
          </w:p>
        </w:tc>
      </w:tr>
      <w:tr w:rsidR="00885AA1" w:rsidRPr="00A710CE" w14:paraId="39858D1D" w14:textId="77777777" w:rsidTr="001F43C9">
        <w:trPr>
          <w:trHeight w:val="300"/>
        </w:trPr>
        <w:tc>
          <w:tcPr>
            <w:tcW w:w="1531" w:type="pct"/>
            <w:tcBorders>
              <w:top w:val="nil"/>
              <w:left w:val="nil"/>
              <w:bottom w:val="nil"/>
              <w:right w:val="nil"/>
            </w:tcBorders>
            <w:shd w:val="clear" w:color="000000" w:fill="CEDBF0"/>
            <w:noWrap/>
            <w:vAlign w:val="bottom"/>
            <w:hideMark/>
          </w:tcPr>
          <w:p w14:paraId="6F5C774F"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Samsø</w:t>
            </w:r>
          </w:p>
        </w:tc>
        <w:tc>
          <w:tcPr>
            <w:tcW w:w="1723" w:type="pct"/>
            <w:tcBorders>
              <w:top w:val="nil"/>
              <w:left w:val="nil"/>
              <w:bottom w:val="nil"/>
              <w:right w:val="nil"/>
            </w:tcBorders>
            <w:shd w:val="clear" w:color="000000" w:fill="CEDBF0"/>
            <w:noWrap/>
            <w:vAlign w:val="bottom"/>
            <w:hideMark/>
          </w:tcPr>
          <w:p w14:paraId="495A0D1B"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58,4 </w:t>
            </w:r>
          </w:p>
        </w:tc>
        <w:tc>
          <w:tcPr>
            <w:tcW w:w="1746" w:type="pct"/>
            <w:tcBorders>
              <w:top w:val="nil"/>
              <w:left w:val="nil"/>
              <w:bottom w:val="nil"/>
              <w:right w:val="nil"/>
            </w:tcBorders>
            <w:shd w:val="clear" w:color="000000" w:fill="CEDBF0"/>
            <w:noWrap/>
            <w:vAlign w:val="bottom"/>
            <w:hideMark/>
          </w:tcPr>
          <w:p w14:paraId="1EB5A4F2"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1,7 </w:t>
            </w:r>
          </w:p>
        </w:tc>
      </w:tr>
      <w:tr w:rsidR="00885AA1" w:rsidRPr="00A710CE" w14:paraId="6863B0E6" w14:textId="77777777" w:rsidTr="001F43C9">
        <w:trPr>
          <w:trHeight w:val="300"/>
        </w:trPr>
        <w:tc>
          <w:tcPr>
            <w:tcW w:w="1531" w:type="pct"/>
            <w:tcBorders>
              <w:top w:val="nil"/>
              <w:left w:val="nil"/>
              <w:bottom w:val="nil"/>
              <w:right w:val="nil"/>
            </w:tcBorders>
            <w:shd w:val="clear" w:color="auto" w:fill="auto"/>
            <w:noWrap/>
            <w:vAlign w:val="bottom"/>
            <w:hideMark/>
          </w:tcPr>
          <w:p w14:paraId="53836A06"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Silkeborg</w:t>
            </w:r>
          </w:p>
        </w:tc>
        <w:tc>
          <w:tcPr>
            <w:tcW w:w="1723" w:type="pct"/>
            <w:tcBorders>
              <w:top w:val="nil"/>
              <w:left w:val="nil"/>
              <w:bottom w:val="nil"/>
              <w:right w:val="nil"/>
            </w:tcBorders>
            <w:shd w:val="clear" w:color="auto" w:fill="auto"/>
            <w:noWrap/>
            <w:vAlign w:val="bottom"/>
            <w:hideMark/>
          </w:tcPr>
          <w:p w14:paraId="738755DF"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748,3 </w:t>
            </w:r>
          </w:p>
        </w:tc>
        <w:tc>
          <w:tcPr>
            <w:tcW w:w="1746" w:type="pct"/>
            <w:tcBorders>
              <w:top w:val="nil"/>
              <w:left w:val="nil"/>
              <w:bottom w:val="nil"/>
              <w:right w:val="nil"/>
            </w:tcBorders>
            <w:shd w:val="clear" w:color="auto" w:fill="auto"/>
            <w:noWrap/>
            <w:vAlign w:val="bottom"/>
            <w:hideMark/>
          </w:tcPr>
          <w:p w14:paraId="29F6493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27,8 </w:t>
            </w:r>
          </w:p>
        </w:tc>
      </w:tr>
      <w:tr w:rsidR="00885AA1" w:rsidRPr="00A710CE" w14:paraId="11614B0A" w14:textId="77777777" w:rsidTr="001F43C9">
        <w:trPr>
          <w:trHeight w:val="300"/>
        </w:trPr>
        <w:tc>
          <w:tcPr>
            <w:tcW w:w="1531" w:type="pct"/>
            <w:tcBorders>
              <w:top w:val="nil"/>
              <w:left w:val="nil"/>
              <w:bottom w:val="nil"/>
              <w:right w:val="nil"/>
            </w:tcBorders>
            <w:shd w:val="clear" w:color="000000" w:fill="CEDBF0"/>
            <w:noWrap/>
            <w:vAlign w:val="bottom"/>
            <w:hideMark/>
          </w:tcPr>
          <w:p w14:paraId="5386534D"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Skanderborg</w:t>
            </w:r>
          </w:p>
        </w:tc>
        <w:tc>
          <w:tcPr>
            <w:tcW w:w="1723" w:type="pct"/>
            <w:tcBorders>
              <w:top w:val="nil"/>
              <w:left w:val="nil"/>
              <w:bottom w:val="nil"/>
              <w:right w:val="nil"/>
            </w:tcBorders>
            <w:shd w:val="clear" w:color="000000" w:fill="CEDBF0"/>
            <w:noWrap/>
            <w:vAlign w:val="bottom"/>
            <w:hideMark/>
          </w:tcPr>
          <w:p w14:paraId="63369274"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402,9 </w:t>
            </w:r>
          </w:p>
        </w:tc>
        <w:tc>
          <w:tcPr>
            <w:tcW w:w="1746" w:type="pct"/>
            <w:tcBorders>
              <w:top w:val="nil"/>
              <w:left w:val="nil"/>
              <w:bottom w:val="nil"/>
              <w:right w:val="nil"/>
            </w:tcBorders>
            <w:shd w:val="clear" w:color="000000" w:fill="CEDBF0"/>
            <w:noWrap/>
            <w:vAlign w:val="bottom"/>
            <w:hideMark/>
          </w:tcPr>
          <w:p w14:paraId="3F9D520B"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17,7 </w:t>
            </w:r>
          </w:p>
        </w:tc>
      </w:tr>
      <w:tr w:rsidR="00885AA1" w:rsidRPr="00A710CE" w14:paraId="15442651" w14:textId="77777777" w:rsidTr="001F43C9">
        <w:trPr>
          <w:trHeight w:val="300"/>
        </w:trPr>
        <w:tc>
          <w:tcPr>
            <w:tcW w:w="1531" w:type="pct"/>
            <w:tcBorders>
              <w:top w:val="nil"/>
              <w:left w:val="nil"/>
              <w:bottom w:val="nil"/>
              <w:right w:val="nil"/>
            </w:tcBorders>
            <w:shd w:val="clear" w:color="auto" w:fill="auto"/>
            <w:noWrap/>
            <w:vAlign w:val="bottom"/>
            <w:hideMark/>
          </w:tcPr>
          <w:p w14:paraId="5C886658"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Skive</w:t>
            </w:r>
          </w:p>
        </w:tc>
        <w:tc>
          <w:tcPr>
            <w:tcW w:w="1723" w:type="pct"/>
            <w:tcBorders>
              <w:top w:val="nil"/>
              <w:left w:val="nil"/>
              <w:bottom w:val="nil"/>
              <w:right w:val="nil"/>
            </w:tcBorders>
            <w:shd w:val="clear" w:color="auto" w:fill="auto"/>
            <w:noWrap/>
            <w:vAlign w:val="bottom"/>
            <w:hideMark/>
          </w:tcPr>
          <w:p w14:paraId="77CB2225"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445,2 </w:t>
            </w:r>
          </w:p>
        </w:tc>
        <w:tc>
          <w:tcPr>
            <w:tcW w:w="1746" w:type="pct"/>
            <w:tcBorders>
              <w:top w:val="nil"/>
              <w:left w:val="nil"/>
              <w:bottom w:val="nil"/>
              <w:right w:val="nil"/>
            </w:tcBorders>
            <w:shd w:val="clear" w:color="auto" w:fill="auto"/>
            <w:noWrap/>
            <w:vAlign w:val="bottom"/>
            <w:hideMark/>
          </w:tcPr>
          <w:p w14:paraId="46E9E006"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13,6 </w:t>
            </w:r>
          </w:p>
        </w:tc>
      </w:tr>
      <w:tr w:rsidR="00885AA1" w:rsidRPr="00A710CE" w14:paraId="0DBE00B9" w14:textId="77777777" w:rsidTr="001F43C9">
        <w:trPr>
          <w:trHeight w:val="300"/>
        </w:trPr>
        <w:tc>
          <w:tcPr>
            <w:tcW w:w="1531" w:type="pct"/>
            <w:tcBorders>
              <w:top w:val="nil"/>
              <w:left w:val="nil"/>
              <w:bottom w:val="nil"/>
              <w:right w:val="nil"/>
            </w:tcBorders>
            <w:shd w:val="clear" w:color="000000" w:fill="CEDBF0"/>
            <w:noWrap/>
            <w:vAlign w:val="bottom"/>
            <w:hideMark/>
          </w:tcPr>
          <w:p w14:paraId="727EA69F"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Slagelse</w:t>
            </w:r>
          </w:p>
        </w:tc>
        <w:tc>
          <w:tcPr>
            <w:tcW w:w="1723" w:type="pct"/>
            <w:tcBorders>
              <w:top w:val="nil"/>
              <w:left w:val="nil"/>
              <w:bottom w:val="nil"/>
              <w:right w:val="nil"/>
            </w:tcBorders>
            <w:shd w:val="clear" w:color="000000" w:fill="CEDBF0"/>
            <w:noWrap/>
            <w:vAlign w:val="bottom"/>
            <w:hideMark/>
          </w:tcPr>
          <w:p w14:paraId="7FCB209D"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750,7 </w:t>
            </w:r>
          </w:p>
        </w:tc>
        <w:tc>
          <w:tcPr>
            <w:tcW w:w="1746" w:type="pct"/>
            <w:tcBorders>
              <w:top w:val="nil"/>
              <w:left w:val="nil"/>
              <w:bottom w:val="nil"/>
              <w:right w:val="nil"/>
            </w:tcBorders>
            <w:shd w:val="clear" w:color="000000" w:fill="CEDBF0"/>
            <w:noWrap/>
            <w:vAlign w:val="bottom"/>
            <w:hideMark/>
          </w:tcPr>
          <w:p w14:paraId="2EAF14CE"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23,4 </w:t>
            </w:r>
          </w:p>
        </w:tc>
      </w:tr>
      <w:tr w:rsidR="00885AA1" w:rsidRPr="00A710CE" w14:paraId="5326A0DC" w14:textId="77777777" w:rsidTr="001F43C9">
        <w:trPr>
          <w:trHeight w:val="300"/>
        </w:trPr>
        <w:tc>
          <w:tcPr>
            <w:tcW w:w="1531" w:type="pct"/>
            <w:tcBorders>
              <w:top w:val="nil"/>
              <w:left w:val="nil"/>
              <w:bottom w:val="nil"/>
              <w:right w:val="nil"/>
            </w:tcBorders>
            <w:shd w:val="clear" w:color="auto" w:fill="auto"/>
            <w:noWrap/>
            <w:vAlign w:val="bottom"/>
            <w:hideMark/>
          </w:tcPr>
          <w:p w14:paraId="4D2E8389"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Solrød</w:t>
            </w:r>
          </w:p>
        </w:tc>
        <w:tc>
          <w:tcPr>
            <w:tcW w:w="1723" w:type="pct"/>
            <w:tcBorders>
              <w:top w:val="nil"/>
              <w:left w:val="nil"/>
              <w:bottom w:val="nil"/>
              <w:right w:val="nil"/>
            </w:tcBorders>
            <w:shd w:val="clear" w:color="auto" w:fill="auto"/>
            <w:noWrap/>
            <w:vAlign w:val="bottom"/>
            <w:hideMark/>
          </w:tcPr>
          <w:p w14:paraId="0C78FFCE"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177,5 </w:t>
            </w:r>
          </w:p>
        </w:tc>
        <w:tc>
          <w:tcPr>
            <w:tcW w:w="1746" w:type="pct"/>
            <w:tcBorders>
              <w:top w:val="nil"/>
              <w:left w:val="nil"/>
              <w:bottom w:val="nil"/>
              <w:right w:val="nil"/>
            </w:tcBorders>
            <w:shd w:val="clear" w:color="auto" w:fill="auto"/>
            <w:noWrap/>
            <w:vAlign w:val="bottom"/>
            <w:hideMark/>
          </w:tcPr>
          <w:p w14:paraId="18FA3DEE"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8,3 </w:t>
            </w:r>
          </w:p>
        </w:tc>
      </w:tr>
      <w:tr w:rsidR="00885AA1" w:rsidRPr="00A710CE" w14:paraId="4E761E75" w14:textId="77777777" w:rsidTr="001F43C9">
        <w:trPr>
          <w:trHeight w:val="300"/>
        </w:trPr>
        <w:tc>
          <w:tcPr>
            <w:tcW w:w="1531" w:type="pct"/>
            <w:tcBorders>
              <w:top w:val="nil"/>
              <w:left w:val="nil"/>
              <w:bottom w:val="nil"/>
              <w:right w:val="nil"/>
            </w:tcBorders>
            <w:shd w:val="clear" w:color="000000" w:fill="CEDBF0"/>
            <w:noWrap/>
            <w:vAlign w:val="bottom"/>
            <w:hideMark/>
          </w:tcPr>
          <w:p w14:paraId="0BF60A1E"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Sorø</w:t>
            </w:r>
          </w:p>
        </w:tc>
        <w:tc>
          <w:tcPr>
            <w:tcW w:w="1723" w:type="pct"/>
            <w:tcBorders>
              <w:top w:val="nil"/>
              <w:left w:val="nil"/>
              <w:bottom w:val="nil"/>
              <w:right w:val="nil"/>
            </w:tcBorders>
            <w:shd w:val="clear" w:color="000000" w:fill="CEDBF0"/>
            <w:noWrap/>
            <w:vAlign w:val="bottom"/>
            <w:hideMark/>
          </w:tcPr>
          <w:p w14:paraId="78EECD7A"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263,2 </w:t>
            </w:r>
          </w:p>
        </w:tc>
        <w:tc>
          <w:tcPr>
            <w:tcW w:w="1746" w:type="pct"/>
            <w:tcBorders>
              <w:top w:val="nil"/>
              <w:left w:val="nil"/>
              <w:bottom w:val="nil"/>
              <w:right w:val="nil"/>
            </w:tcBorders>
            <w:shd w:val="clear" w:color="000000" w:fill="CEDBF0"/>
            <w:noWrap/>
            <w:vAlign w:val="bottom"/>
            <w:hideMark/>
          </w:tcPr>
          <w:p w14:paraId="7C4DC471"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7,6 </w:t>
            </w:r>
          </w:p>
        </w:tc>
      </w:tr>
      <w:tr w:rsidR="00885AA1" w:rsidRPr="00A710CE" w14:paraId="32ACB65A" w14:textId="77777777" w:rsidTr="001F43C9">
        <w:trPr>
          <w:trHeight w:val="300"/>
        </w:trPr>
        <w:tc>
          <w:tcPr>
            <w:tcW w:w="1531" w:type="pct"/>
            <w:tcBorders>
              <w:top w:val="nil"/>
              <w:left w:val="nil"/>
              <w:bottom w:val="nil"/>
              <w:right w:val="nil"/>
            </w:tcBorders>
            <w:shd w:val="clear" w:color="auto" w:fill="auto"/>
            <w:noWrap/>
            <w:vAlign w:val="bottom"/>
            <w:hideMark/>
          </w:tcPr>
          <w:p w14:paraId="247B4EA4"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Stevns</w:t>
            </w:r>
          </w:p>
        </w:tc>
        <w:tc>
          <w:tcPr>
            <w:tcW w:w="1723" w:type="pct"/>
            <w:tcBorders>
              <w:top w:val="nil"/>
              <w:left w:val="nil"/>
              <w:bottom w:val="nil"/>
              <w:right w:val="nil"/>
            </w:tcBorders>
            <w:shd w:val="clear" w:color="auto" w:fill="auto"/>
            <w:noWrap/>
            <w:vAlign w:val="bottom"/>
            <w:hideMark/>
          </w:tcPr>
          <w:p w14:paraId="29849EC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207,6 </w:t>
            </w:r>
          </w:p>
        </w:tc>
        <w:tc>
          <w:tcPr>
            <w:tcW w:w="1746" w:type="pct"/>
            <w:tcBorders>
              <w:top w:val="nil"/>
              <w:left w:val="nil"/>
              <w:bottom w:val="nil"/>
              <w:right w:val="nil"/>
            </w:tcBorders>
            <w:shd w:val="clear" w:color="auto" w:fill="auto"/>
            <w:noWrap/>
            <w:vAlign w:val="bottom"/>
            <w:hideMark/>
          </w:tcPr>
          <w:p w14:paraId="5FCC10C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7,0 </w:t>
            </w:r>
          </w:p>
        </w:tc>
      </w:tr>
      <w:tr w:rsidR="00885AA1" w:rsidRPr="00A710CE" w14:paraId="4885023D" w14:textId="77777777" w:rsidTr="001F43C9">
        <w:trPr>
          <w:trHeight w:val="300"/>
        </w:trPr>
        <w:tc>
          <w:tcPr>
            <w:tcW w:w="1531" w:type="pct"/>
            <w:tcBorders>
              <w:top w:val="nil"/>
              <w:left w:val="nil"/>
              <w:bottom w:val="nil"/>
              <w:right w:val="nil"/>
            </w:tcBorders>
            <w:shd w:val="clear" w:color="000000" w:fill="CEDBF0"/>
            <w:noWrap/>
            <w:vAlign w:val="bottom"/>
            <w:hideMark/>
          </w:tcPr>
          <w:p w14:paraId="26DC718A"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Struer</w:t>
            </w:r>
          </w:p>
        </w:tc>
        <w:tc>
          <w:tcPr>
            <w:tcW w:w="1723" w:type="pct"/>
            <w:tcBorders>
              <w:top w:val="nil"/>
              <w:left w:val="nil"/>
              <w:bottom w:val="nil"/>
              <w:right w:val="nil"/>
            </w:tcBorders>
            <w:shd w:val="clear" w:color="000000" w:fill="CEDBF0"/>
            <w:noWrap/>
            <w:vAlign w:val="bottom"/>
            <w:hideMark/>
          </w:tcPr>
          <w:p w14:paraId="71FC829D"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202,3 </w:t>
            </w:r>
          </w:p>
        </w:tc>
        <w:tc>
          <w:tcPr>
            <w:tcW w:w="1746" w:type="pct"/>
            <w:tcBorders>
              <w:top w:val="nil"/>
              <w:left w:val="nil"/>
              <w:bottom w:val="nil"/>
              <w:right w:val="nil"/>
            </w:tcBorders>
            <w:shd w:val="clear" w:color="000000" w:fill="CEDBF0"/>
            <w:noWrap/>
            <w:vAlign w:val="bottom"/>
            <w:hideMark/>
          </w:tcPr>
          <w:p w14:paraId="7F2BA5CF"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6,6 </w:t>
            </w:r>
          </w:p>
        </w:tc>
      </w:tr>
      <w:tr w:rsidR="00885AA1" w:rsidRPr="00A710CE" w14:paraId="16F6264B" w14:textId="77777777" w:rsidTr="001F43C9">
        <w:trPr>
          <w:trHeight w:val="300"/>
        </w:trPr>
        <w:tc>
          <w:tcPr>
            <w:tcW w:w="1531" w:type="pct"/>
            <w:tcBorders>
              <w:top w:val="nil"/>
              <w:left w:val="nil"/>
              <w:bottom w:val="nil"/>
              <w:right w:val="nil"/>
            </w:tcBorders>
            <w:shd w:val="clear" w:color="auto" w:fill="auto"/>
            <w:noWrap/>
            <w:vAlign w:val="bottom"/>
            <w:hideMark/>
          </w:tcPr>
          <w:p w14:paraId="31B3CABC"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lastRenderedPageBreak/>
              <w:t>Svendborg</w:t>
            </w:r>
          </w:p>
        </w:tc>
        <w:tc>
          <w:tcPr>
            <w:tcW w:w="1723" w:type="pct"/>
            <w:tcBorders>
              <w:top w:val="nil"/>
              <w:left w:val="nil"/>
              <w:bottom w:val="nil"/>
              <w:right w:val="nil"/>
            </w:tcBorders>
            <w:shd w:val="clear" w:color="auto" w:fill="auto"/>
            <w:noWrap/>
            <w:vAlign w:val="bottom"/>
            <w:hideMark/>
          </w:tcPr>
          <w:p w14:paraId="5975495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540,8 </w:t>
            </w:r>
          </w:p>
        </w:tc>
        <w:tc>
          <w:tcPr>
            <w:tcW w:w="1746" w:type="pct"/>
            <w:tcBorders>
              <w:top w:val="nil"/>
              <w:left w:val="nil"/>
              <w:bottom w:val="nil"/>
              <w:right w:val="nil"/>
            </w:tcBorders>
            <w:shd w:val="clear" w:color="auto" w:fill="auto"/>
            <w:noWrap/>
            <w:vAlign w:val="bottom"/>
            <w:hideMark/>
          </w:tcPr>
          <w:p w14:paraId="038B6D8B"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16,0 </w:t>
            </w:r>
          </w:p>
        </w:tc>
      </w:tr>
      <w:tr w:rsidR="00885AA1" w:rsidRPr="00A710CE" w14:paraId="30C5242F" w14:textId="77777777" w:rsidTr="001F43C9">
        <w:trPr>
          <w:trHeight w:val="300"/>
        </w:trPr>
        <w:tc>
          <w:tcPr>
            <w:tcW w:w="1531" w:type="pct"/>
            <w:tcBorders>
              <w:top w:val="nil"/>
              <w:left w:val="nil"/>
              <w:bottom w:val="nil"/>
              <w:right w:val="nil"/>
            </w:tcBorders>
            <w:shd w:val="clear" w:color="000000" w:fill="CEDBF0"/>
            <w:noWrap/>
            <w:vAlign w:val="bottom"/>
            <w:hideMark/>
          </w:tcPr>
          <w:p w14:paraId="7C27D8F2"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Syddjurs</w:t>
            </w:r>
          </w:p>
        </w:tc>
        <w:tc>
          <w:tcPr>
            <w:tcW w:w="1723" w:type="pct"/>
            <w:tcBorders>
              <w:top w:val="nil"/>
              <w:left w:val="nil"/>
              <w:bottom w:val="nil"/>
              <w:right w:val="nil"/>
            </w:tcBorders>
            <w:shd w:val="clear" w:color="000000" w:fill="CEDBF0"/>
            <w:noWrap/>
            <w:vAlign w:val="bottom"/>
            <w:hideMark/>
          </w:tcPr>
          <w:p w14:paraId="1FBAA39E"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341,3 </w:t>
            </w:r>
          </w:p>
        </w:tc>
        <w:tc>
          <w:tcPr>
            <w:tcW w:w="1746" w:type="pct"/>
            <w:tcBorders>
              <w:top w:val="nil"/>
              <w:left w:val="nil"/>
              <w:bottom w:val="nil"/>
              <w:right w:val="nil"/>
            </w:tcBorders>
            <w:shd w:val="clear" w:color="000000" w:fill="CEDBF0"/>
            <w:noWrap/>
            <w:vAlign w:val="bottom"/>
            <w:hideMark/>
          </w:tcPr>
          <w:p w14:paraId="5623A6DC"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13,9 </w:t>
            </w:r>
          </w:p>
        </w:tc>
      </w:tr>
      <w:tr w:rsidR="00885AA1" w:rsidRPr="00A710CE" w14:paraId="69FC54AA" w14:textId="77777777" w:rsidTr="001F43C9">
        <w:trPr>
          <w:trHeight w:val="300"/>
        </w:trPr>
        <w:tc>
          <w:tcPr>
            <w:tcW w:w="1531" w:type="pct"/>
            <w:tcBorders>
              <w:top w:val="nil"/>
              <w:left w:val="nil"/>
              <w:bottom w:val="nil"/>
              <w:right w:val="nil"/>
            </w:tcBorders>
            <w:shd w:val="clear" w:color="auto" w:fill="auto"/>
            <w:noWrap/>
            <w:vAlign w:val="bottom"/>
            <w:hideMark/>
          </w:tcPr>
          <w:p w14:paraId="1609E5E2"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Sønderborg</w:t>
            </w:r>
          </w:p>
        </w:tc>
        <w:tc>
          <w:tcPr>
            <w:tcW w:w="1723" w:type="pct"/>
            <w:tcBorders>
              <w:top w:val="nil"/>
              <w:left w:val="nil"/>
              <w:bottom w:val="nil"/>
              <w:right w:val="nil"/>
            </w:tcBorders>
            <w:shd w:val="clear" w:color="auto" w:fill="auto"/>
            <w:noWrap/>
            <w:vAlign w:val="bottom"/>
            <w:hideMark/>
          </w:tcPr>
          <w:p w14:paraId="14C4DB8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782,1 </w:t>
            </w:r>
          </w:p>
        </w:tc>
        <w:tc>
          <w:tcPr>
            <w:tcW w:w="1746" w:type="pct"/>
            <w:tcBorders>
              <w:top w:val="nil"/>
              <w:left w:val="nil"/>
              <w:bottom w:val="nil"/>
              <w:right w:val="nil"/>
            </w:tcBorders>
            <w:shd w:val="clear" w:color="auto" w:fill="auto"/>
            <w:noWrap/>
            <w:vAlign w:val="bottom"/>
            <w:hideMark/>
          </w:tcPr>
          <w:p w14:paraId="5F26AE5F"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24,4 </w:t>
            </w:r>
          </w:p>
        </w:tc>
      </w:tr>
      <w:tr w:rsidR="00885AA1" w:rsidRPr="00A710CE" w14:paraId="32043C22" w14:textId="77777777" w:rsidTr="001F43C9">
        <w:trPr>
          <w:trHeight w:val="300"/>
        </w:trPr>
        <w:tc>
          <w:tcPr>
            <w:tcW w:w="1531" w:type="pct"/>
            <w:tcBorders>
              <w:top w:val="nil"/>
              <w:left w:val="nil"/>
              <w:bottom w:val="nil"/>
              <w:right w:val="nil"/>
            </w:tcBorders>
            <w:shd w:val="clear" w:color="000000" w:fill="CEDBF0"/>
            <w:noWrap/>
            <w:vAlign w:val="bottom"/>
            <w:hideMark/>
          </w:tcPr>
          <w:p w14:paraId="1048FC04"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Thisted</w:t>
            </w:r>
          </w:p>
        </w:tc>
        <w:tc>
          <w:tcPr>
            <w:tcW w:w="1723" w:type="pct"/>
            <w:tcBorders>
              <w:top w:val="nil"/>
              <w:left w:val="nil"/>
              <w:bottom w:val="nil"/>
              <w:right w:val="nil"/>
            </w:tcBorders>
            <w:shd w:val="clear" w:color="000000" w:fill="CEDBF0"/>
            <w:noWrap/>
            <w:vAlign w:val="bottom"/>
            <w:hideMark/>
          </w:tcPr>
          <w:p w14:paraId="5AF8DB66"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421,8 </w:t>
            </w:r>
          </w:p>
        </w:tc>
        <w:tc>
          <w:tcPr>
            <w:tcW w:w="1746" w:type="pct"/>
            <w:tcBorders>
              <w:top w:val="nil"/>
              <w:left w:val="nil"/>
              <w:bottom w:val="nil"/>
              <w:right w:val="nil"/>
            </w:tcBorders>
            <w:shd w:val="clear" w:color="000000" w:fill="CEDBF0"/>
            <w:noWrap/>
            <w:vAlign w:val="bottom"/>
            <w:hideMark/>
          </w:tcPr>
          <w:p w14:paraId="1805CFDE"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13,1 </w:t>
            </w:r>
          </w:p>
        </w:tc>
      </w:tr>
      <w:tr w:rsidR="00885AA1" w:rsidRPr="00A710CE" w14:paraId="77B45C95" w14:textId="77777777" w:rsidTr="001F43C9">
        <w:trPr>
          <w:trHeight w:val="300"/>
        </w:trPr>
        <w:tc>
          <w:tcPr>
            <w:tcW w:w="1531" w:type="pct"/>
            <w:tcBorders>
              <w:top w:val="nil"/>
              <w:left w:val="nil"/>
              <w:bottom w:val="nil"/>
              <w:right w:val="nil"/>
            </w:tcBorders>
            <w:shd w:val="clear" w:color="auto" w:fill="auto"/>
            <w:noWrap/>
            <w:vAlign w:val="bottom"/>
            <w:hideMark/>
          </w:tcPr>
          <w:p w14:paraId="6783BEF0"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Tønder</w:t>
            </w:r>
          </w:p>
        </w:tc>
        <w:tc>
          <w:tcPr>
            <w:tcW w:w="1723" w:type="pct"/>
            <w:tcBorders>
              <w:top w:val="nil"/>
              <w:left w:val="nil"/>
              <w:bottom w:val="nil"/>
              <w:right w:val="nil"/>
            </w:tcBorders>
            <w:shd w:val="clear" w:color="auto" w:fill="auto"/>
            <w:noWrap/>
            <w:vAlign w:val="bottom"/>
            <w:hideMark/>
          </w:tcPr>
          <w:p w14:paraId="4440EE2E"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345,3 </w:t>
            </w:r>
          </w:p>
        </w:tc>
        <w:tc>
          <w:tcPr>
            <w:tcW w:w="1746" w:type="pct"/>
            <w:tcBorders>
              <w:top w:val="nil"/>
              <w:left w:val="nil"/>
              <w:bottom w:val="nil"/>
              <w:right w:val="nil"/>
            </w:tcBorders>
            <w:shd w:val="clear" w:color="auto" w:fill="auto"/>
            <w:noWrap/>
            <w:vAlign w:val="bottom"/>
            <w:hideMark/>
          </w:tcPr>
          <w:p w14:paraId="09FE3142"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9,6 </w:t>
            </w:r>
          </w:p>
        </w:tc>
      </w:tr>
      <w:tr w:rsidR="00885AA1" w:rsidRPr="00A710CE" w14:paraId="4DD3118C" w14:textId="77777777" w:rsidTr="001F43C9">
        <w:trPr>
          <w:trHeight w:val="300"/>
        </w:trPr>
        <w:tc>
          <w:tcPr>
            <w:tcW w:w="1531" w:type="pct"/>
            <w:tcBorders>
              <w:top w:val="nil"/>
              <w:left w:val="nil"/>
              <w:bottom w:val="nil"/>
              <w:right w:val="nil"/>
            </w:tcBorders>
            <w:shd w:val="clear" w:color="000000" w:fill="CEDBF0"/>
            <w:noWrap/>
            <w:vAlign w:val="bottom"/>
            <w:hideMark/>
          </w:tcPr>
          <w:p w14:paraId="5D50B564"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Tårnby</w:t>
            </w:r>
          </w:p>
        </w:tc>
        <w:tc>
          <w:tcPr>
            <w:tcW w:w="1723" w:type="pct"/>
            <w:tcBorders>
              <w:top w:val="nil"/>
              <w:left w:val="nil"/>
              <w:bottom w:val="nil"/>
              <w:right w:val="nil"/>
            </w:tcBorders>
            <w:shd w:val="clear" w:color="000000" w:fill="CEDBF0"/>
            <w:noWrap/>
            <w:vAlign w:val="bottom"/>
            <w:hideMark/>
          </w:tcPr>
          <w:p w14:paraId="7C4BA181"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388,9 </w:t>
            </w:r>
          </w:p>
        </w:tc>
        <w:tc>
          <w:tcPr>
            <w:tcW w:w="1746" w:type="pct"/>
            <w:tcBorders>
              <w:top w:val="nil"/>
              <w:left w:val="nil"/>
              <w:bottom w:val="nil"/>
              <w:right w:val="nil"/>
            </w:tcBorders>
            <w:shd w:val="clear" w:color="000000" w:fill="CEDBF0"/>
            <w:noWrap/>
            <w:vAlign w:val="bottom"/>
            <w:hideMark/>
          </w:tcPr>
          <w:p w14:paraId="7C7FCC71"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2,4 </w:t>
            </w:r>
          </w:p>
        </w:tc>
      </w:tr>
      <w:tr w:rsidR="00885AA1" w:rsidRPr="00A710CE" w14:paraId="63DAA0F6" w14:textId="77777777" w:rsidTr="001F43C9">
        <w:trPr>
          <w:trHeight w:val="300"/>
        </w:trPr>
        <w:tc>
          <w:tcPr>
            <w:tcW w:w="1531" w:type="pct"/>
            <w:tcBorders>
              <w:top w:val="nil"/>
              <w:left w:val="nil"/>
              <w:bottom w:val="nil"/>
              <w:right w:val="nil"/>
            </w:tcBorders>
            <w:shd w:val="clear" w:color="auto" w:fill="auto"/>
            <w:noWrap/>
            <w:vAlign w:val="bottom"/>
            <w:hideMark/>
          </w:tcPr>
          <w:p w14:paraId="3555037F"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Vallensbæk</w:t>
            </w:r>
          </w:p>
        </w:tc>
        <w:tc>
          <w:tcPr>
            <w:tcW w:w="1723" w:type="pct"/>
            <w:tcBorders>
              <w:top w:val="nil"/>
              <w:left w:val="nil"/>
              <w:bottom w:val="nil"/>
              <w:right w:val="nil"/>
            </w:tcBorders>
            <w:shd w:val="clear" w:color="auto" w:fill="auto"/>
            <w:noWrap/>
            <w:vAlign w:val="bottom"/>
            <w:hideMark/>
          </w:tcPr>
          <w:p w14:paraId="1973FE99"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117,2 </w:t>
            </w:r>
          </w:p>
        </w:tc>
        <w:tc>
          <w:tcPr>
            <w:tcW w:w="1746" w:type="pct"/>
            <w:tcBorders>
              <w:top w:val="nil"/>
              <w:left w:val="nil"/>
              <w:bottom w:val="nil"/>
              <w:right w:val="nil"/>
            </w:tcBorders>
            <w:shd w:val="clear" w:color="auto" w:fill="auto"/>
            <w:noWrap/>
            <w:vAlign w:val="bottom"/>
            <w:hideMark/>
          </w:tcPr>
          <w:p w14:paraId="11FAF6CC"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5,2 </w:t>
            </w:r>
          </w:p>
        </w:tc>
      </w:tr>
      <w:tr w:rsidR="00885AA1" w:rsidRPr="00A710CE" w14:paraId="0367C43F" w14:textId="77777777" w:rsidTr="001F43C9">
        <w:trPr>
          <w:trHeight w:val="300"/>
        </w:trPr>
        <w:tc>
          <w:tcPr>
            <w:tcW w:w="1531" w:type="pct"/>
            <w:tcBorders>
              <w:top w:val="nil"/>
              <w:left w:val="nil"/>
              <w:bottom w:val="nil"/>
              <w:right w:val="nil"/>
            </w:tcBorders>
            <w:shd w:val="clear" w:color="000000" w:fill="CEDBF0"/>
            <w:noWrap/>
            <w:vAlign w:val="bottom"/>
            <w:hideMark/>
          </w:tcPr>
          <w:p w14:paraId="555DE7B1"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Varde</w:t>
            </w:r>
          </w:p>
        </w:tc>
        <w:tc>
          <w:tcPr>
            <w:tcW w:w="1723" w:type="pct"/>
            <w:tcBorders>
              <w:top w:val="nil"/>
              <w:left w:val="nil"/>
              <w:bottom w:val="nil"/>
              <w:right w:val="nil"/>
            </w:tcBorders>
            <w:shd w:val="clear" w:color="000000" w:fill="CEDBF0"/>
            <w:noWrap/>
            <w:vAlign w:val="bottom"/>
            <w:hideMark/>
          </w:tcPr>
          <w:p w14:paraId="0E8E417A"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422,2 </w:t>
            </w:r>
          </w:p>
        </w:tc>
        <w:tc>
          <w:tcPr>
            <w:tcW w:w="1746" w:type="pct"/>
            <w:tcBorders>
              <w:top w:val="nil"/>
              <w:left w:val="nil"/>
              <w:bottom w:val="nil"/>
              <w:right w:val="nil"/>
            </w:tcBorders>
            <w:shd w:val="clear" w:color="000000" w:fill="CEDBF0"/>
            <w:noWrap/>
            <w:vAlign w:val="bottom"/>
            <w:hideMark/>
          </w:tcPr>
          <w:p w14:paraId="0272A670"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11,1 </w:t>
            </w:r>
          </w:p>
        </w:tc>
      </w:tr>
      <w:tr w:rsidR="00885AA1" w:rsidRPr="00A710CE" w14:paraId="19ABE616" w14:textId="77777777" w:rsidTr="001F43C9">
        <w:trPr>
          <w:trHeight w:val="300"/>
        </w:trPr>
        <w:tc>
          <w:tcPr>
            <w:tcW w:w="1531" w:type="pct"/>
            <w:tcBorders>
              <w:top w:val="nil"/>
              <w:left w:val="nil"/>
              <w:bottom w:val="nil"/>
              <w:right w:val="nil"/>
            </w:tcBorders>
            <w:shd w:val="clear" w:color="auto" w:fill="auto"/>
            <w:noWrap/>
            <w:vAlign w:val="bottom"/>
            <w:hideMark/>
          </w:tcPr>
          <w:p w14:paraId="3EE06926"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Vejen</w:t>
            </w:r>
          </w:p>
        </w:tc>
        <w:tc>
          <w:tcPr>
            <w:tcW w:w="1723" w:type="pct"/>
            <w:tcBorders>
              <w:top w:val="nil"/>
              <w:left w:val="nil"/>
              <w:bottom w:val="nil"/>
              <w:right w:val="nil"/>
            </w:tcBorders>
            <w:shd w:val="clear" w:color="auto" w:fill="auto"/>
            <w:noWrap/>
            <w:vAlign w:val="bottom"/>
            <w:hideMark/>
          </w:tcPr>
          <w:p w14:paraId="422EB37B"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353,1 </w:t>
            </w:r>
          </w:p>
        </w:tc>
        <w:tc>
          <w:tcPr>
            <w:tcW w:w="1746" w:type="pct"/>
            <w:tcBorders>
              <w:top w:val="nil"/>
              <w:left w:val="nil"/>
              <w:bottom w:val="nil"/>
              <w:right w:val="nil"/>
            </w:tcBorders>
            <w:shd w:val="clear" w:color="auto" w:fill="auto"/>
            <w:noWrap/>
            <w:vAlign w:val="bottom"/>
            <w:hideMark/>
          </w:tcPr>
          <w:p w14:paraId="14A85AB1"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8,1 </w:t>
            </w:r>
          </w:p>
        </w:tc>
      </w:tr>
      <w:tr w:rsidR="00885AA1" w:rsidRPr="00A710CE" w14:paraId="4E2FCD10" w14:textId="77777777" w:rsidTr="001F43C9">
        <w:trPr>
          <w:trHeight w:val="300"/>
        </w:trPr>
        <w:tc>
          <w:tcPr>
            <w:tcW w:w="1531" w:type="pct"/>
            <w:tcBorders>
              <w:top w:val="nil"/>
              <w:left w:val="nil"/>
              <w:bottom w:val="nil"/>
              <w:right w:val="nil"/>
            </w:tcBorders>
            <w:shd w:val="clear" w:color="000000" w:fill="CEDBF0"/>
            <w:noWrap/>
            <w:vAlign w:val="bottom"/>
            <w:hideMark/>
          </w:tcPr>
          <w:p w14:paraId="72A68CCA"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Vejle</w:t>
            </w:r>
          </w:p>
        </w:tc>
        <w:tc>
          <w:tcPr>
            <w:tcW w:w="1723" w:type="pct"/>
            <w:tcBorders>
              <w:top w:val="nil"/>
              <w:left w:val="nil"/>
              <w:bottom w:val="nil"/>
              <w:right w:val="nil"/>
            </w:tcBorders>
            <w:shd w:val="clear" w:color="000000" w:fill="CEDBF0"/>
            <w:noWrap/>
            <w:vAlign w:val="bottom"/>
            <w:hideMark/>
          </w:tcPr>
          <w:p w14:paraId="7A74276D"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772,9 </w:t>
            </w:r>
          </w:p>
        </w:tc>
        <w:tc>
          <w:tcPr>
            <w:tcW w:w="1746" w:type="pct"/>
            <w:tcBorders>
              <w:top w:val="nil"/>
              <w:left w:val="nil"/>
              <w:bottom w:val="nil"/>
              <w:right w:val="nil"/>
            </w:tcBorders>
            <w:shd w:val="clear" w:color="000000" w:fill="CEDBF0"/>
            <w:noWrap/>
            <w:vAlign w:val="bottom"/>
            <w:hideMark/>
          </w:tcPr>
          <w:p w14:paraId="55197F2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26,1 </w:t>
            </w:r>
          </w:p>
        </w:tc>
      </w:tr>
      <w:tr w:rsidR="00885AA1" w:rsidRPr="00A710CE" w14:paraId="46BBD638" w14:textId="77777777" w:rsidTr="001F43C9">
        <w:trPr>
          <w:trHeight w:val="300"/>
        </w:trPr>
        <w:tc>
          <w:tcPr>
            <w:tcW w:w="1531" w:type="pct"/>
            <w:tcBorders>
              <w:top w:val="nil"/>
              <w:left w:val="nil"/>
              <w:bottom w:val="nil"/>
              <w:right w:val="nil"/>
            </w:tcBorders>
            <w:shd w:val="clear" w:color="auto" w:fill="auto"/>
            <w:noWrap/>
            <w:vAlign w:val="bottom"/>
            <w:hideMark/>
          </w:tcPr>
          <w:p w14:paraId="1ADACD1C"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Vesthimmerlands</w:t>
            </w:r>
          </w:p>
        </w:tc>
        <w:tc>
          <w:tcPr>
            <w:tcW w:w="1723" w:type="pct"/>
            <w:tcBorders>
              <w:top w:val="nil"/>
              <w:left w:val="nil"/>
              <w:bottom w:val="nil"/>
              <w:right w:val="nil"/>
            </w:tcBorders>
            <w:shd w:val="clear" w:color="auto" w:fill="auto"/>
            <w:noWrap/>
            <w:vAlign w:val="bottom"/>
            <w:hideMark/>
          </w:tcPr>
          <w:p w14:paraId="56FB6D0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354,0 </w:t>
            </w:r>
          </w:p>
        </w:tc>
        <w:tc>
          <w:tcPr>
            <w:tcW w:w="1746" w:type="pct"/>
            <w:tcBorders>
              <w:top w:val="nil"/>
              <w:left w:val="nil"/>
              <w:bottom w:val="nil"/>
              <w:right w:val="nil"/>
            </w:tcBorders>
            <w:shd w:val="clear" w:color="auto" w:fill="auto"/>
            <w:noWrap/>
            <w:vAlign w:val="bottom"/>
            <w:hideMark/>
          </w:tcPr>
          <w:p w14:paraId="0692BF26"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8,6 </w:t>
            </w:r>
          </w:p>
        </w:tc>
      </w:tr>
      <w:tr w:rsidR="00885AA1" w:rsidRPr="00A710CE" w14:paraId="2B144444" w14:textId="77777777" w:rsidTr="001F43C9">
        <w:trPr>
          <w:trHeight w:val="300"/>
        </w:trPr>
        <w:tc>
          <w:tcPr>
            <w:tcW w:w="1531" w:type="pct"/>
            <w:tcBorders>
              <w:top w:val="nil"/>
              <w:left w:val="nil"/>
              <w:bottom w:val="nil"/>
              <w:right w:val="nil"/>
            </w:tcBorders>
            <w:shd w:val="clear" w:color="000000" w:fill="CEDBF0"/>
            <w:noWrap/>
            <w:vAlign w:val="bottom"/>
            <w:hideMark/>
          </w:tcPr>
          <w:p w14:paraId="2F15EBC6"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Viborg</w:t>
            </w:r>
          </w:p>
        </w:tc>
        <w:tc>
          <w:tcPr>
            <w:tcW w:w="1723" w:type="pct"/>
            <w:tcBorders>
              <w:top w:val="nil"/>
              <w:left w:val="nil"/>
              <w:bottom w:val="nil"/>
              <w:right w:val="nil"/>
            </w:tcBorders>
            <w:shd w:val="clear" w:color="000000" w:fill="CEDBF0"/>
            <w:noWrap/>
            <w:vAlign w:val="bottom"/>
            <w:hideMark/>
          </w:tcPr>
          <w:p w14:paraId="7702E511"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766,4 </w:t>
            </w:r>
          </w:p>
        </w:tc>
        <w:tc>
          <w:tcPr>
            <w:tcW w:w="1746" w:type="pct"/>
            <w:tcBorders>
              <w:top w:val="nil"/>
              <w:left w:val="nil"/>
              <w:bottom w:val="nil"/>
              <w:right w:val="nil"/>
            </w:tcBorders>
            <w:shd w:val="clear" w:color="000000" w:fill="CEDBF0"/>
            <w:noWrap/>
            <w:vAlign w:val="bottom"/>
            <w:hideMark/>
          </w:tcPr>
          <w:p w14:paraId="451AAAB9"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24,1 </w:t>
            </w:r>
          </w:p>
        </w:tc>
      </w:tr>
      <w:tr w:rsidR="00885AA1" w:rsidRPr="00A710CE" w14:paraId="74E91ED6" w14:textId="77777777" w:rsidTr="001F43C9">
        <w:trPr>
          <w:trHeight w:val="300"/>
        </w:trPr>
        <w:tc>
          <w:tcPr>
            <w:tcW w:w="1531" w:type="pct"/>
            <w:tcBorders>
              <w:top w:val="nil"/>
              <w:left w:val="nil"/>
              <w:bottom w:val="nil"/>
              <w:right w:val="nil"/>
            </w:tcBorders>
            <w:shd w:val="clear" w:color="auto" w:fill="auto"/>
            <w:noWrap/>
            <w:vAlign w:val="bottom"/>
            <w:hideMark/>
          </w:tcPr>
          <w:p w14:paraId="438B9C00"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Vordingborg</w:t>
            </w:r>
          </w:p>
        </w:tc>
        <w:tc>
          <w:tcPr>
            <w:tcW w:w="1723" w:type="pct"/>
            <w:tcBorders>
              <w:top w:val="nil"/>
              <w:left w:val="nil"/>
              <w:bottom w:val="nil"/>
              <w:right w:val="nil"/>
            </w:tcBorders>
            <w:shd w:val="clear" w:color="auto" w:fill="auto"/>
            <w:noWrap/>
            <w:vAlign w:val="bottom"/>
            <w:hideMark/>
          </w:tcPr>
          <w:p w14:paraId="5DEC87C9"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470,5 </w:t>
            </w:r>
          </w:p>
        </w:tc>
        <w:tc>
          <w:tcPr>
            <w:tcW w:w="1746" w:type="pct"/>
            <w:tcBorders>
              <w:top w:val="nil"/>
              <w:left w:val="nil"/>
              <w:bottom w:val="nil"/>
              <w:right w:val="nil"/>
            </w:tcBorders>
            <w:shd w:val="clear" w:color="auto" w:fill="auto"/>
            <w:noWrap/>
            <w:vAlign w:val="bottom"/>
            <w:hideMark/>
          </w:tcPr>
          <w:p w14:paraId="5622176A"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17,5 </w:t>
            </w:r>
          </w:p>
        </w:tc>
      </w:tr>
      <w:tr w:rsidR="00885AA1" w:rsidRPr="00A710CE" w14:paraId="3E062230" w14:textId="77777777" w:rsidTr="001F43C9">
        <w:trPr>
          <w:trHeight w:val="300"/>
        </w:trPr>
        <w:tc>
          <w:tcPr>
            <w:tcW w:w="1531" w:type="pct"/>
            <w:tcBorders>
              <w:top w:val="nil"/>
              <w:left w:val="nil"/>
              <w:bottom w:val="nil"/>
              <w:right w:val="nil"/>
            </w:tcBorders>
            <w:shd w:val="clear" w:color="000000" w:fill="CEDBF0"/>
            <w:noWrap/>
            <w:vAlign w:val="bottom"/>
            <w:hideMark/>
          </w:tcPr>
          <w:p w14:paraId="2E50F613"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Ærø</w:t>
            </w:r>
          </w:p>
        </w:tc>
        <w:tc>
          <w:tcPr>
            <w:tcW w:w="1723" w:type="pct"/>
            <w:tcBorders>
              <w:top w:val="nil"/>
              <w:left w:val="nil"/>
              <w:bottom w:val="nil"/>
              <w:right w:val="nil"/>
            </w:tcBorders>
            <w:shd w:val="clear" w:color="000000" w:fill="CEDBF0"/>
            <w:noWrap/>
            <w:vAlign w:val="bottom"/>
            <w:hideMark/>
          </w:tcPr>
          <w:p w14:paraId="72FCF3F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96,9 </w:t>
            </w:r>
          </w:p>
        </w:tc>
        <w:tc>
          <w:tcPr>
            <w:tcW w:w="1746" w:type="pct"/>
            <w:tcBorders>
              <w:top w:val="nil"/>
              <w:left w:val="nil"/>
              <w:bottom w:val="nil"/>
              <w:right w:val="nil"/>
            </w:tcBorders>
            <w:shd w:val="clear" w:color="000000" w:fill="CEDBF0"/>
            <w:noWrap/>
            <w:vAlign w:val="bottom"/>
            <w:hideMark/>
          </w:tcPr>
          <w:p w14:paraId="6D284C5B"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1,7 </w:t>
            </w:r>
          </w:p>
        </w:tc>
      </w:tr>
      <w:tr w:rsidR="00885AA1" w:rsidRPr="00A710CE" w14:paraId="1047CE6F" w14:textId="77777777" w:rsidTr="001F43C9">
        <w:trPr>
          <w:trHeight w:val="300"/>
        </w:trPr>
        <w:tc>
          <w:tcPr>
            <w:tcW w:w="1531" w:type="pct"/>
            <w:tcBorders>
              <w:top w:val="nil"/>
              <w:left w:val="nil"/>
              <w:bottom w:val="nil"/>
              <w:right w:val="nil"/>
            </w:tcBorders>
            <w:shd w:val="clear" w:color="auto" w:fill="auto"/>
            <w:noWrap/>
            <w:vAlign w:val="bottom"/>
            <w:hideMark/>
          </w:tcPr>
          <w:p w14:paraId="0C5A7145"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Aabenraa</w:t>
            </w:r>
          </w:p>
        </w:tc>
        <w:tc>
          <w:tcPr>
            <w:tcW w:w="1723" w:type="pct"/>
            <w:tcBorders>
              <w:top w:val="nil"/>
              <w:left w:val="nil"/>
              <w:bottom w:val="nil"/>
              <w:right w:val="nil"/>
            </w:tcBorders>
            <w:shd w:val="clear" w:color="auto" w:fill="auto"/>
            <w:noWrap/>
            <w:vAlign w:val="bottom"/>
            <w:hideMark/>
          </w:tcPr>
          <w:p w14:paraId="04B811C7"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553,8 </w:t>
            </w:r>
          </w:p>
        </w:tc>
        <w:tc>
          <w:tcPr>
            <w:tcW w:w="1746" w:type="pct"/>
            <w:tcBorders>
              <w:top w:val="nil"/>
              <w:left w:val="nil"/>
              <w:bottom w:val="nil"/>
              <w:right w:val="nil"/>
            </w:tcBorders>
            <w:shd w:val="clear" w:color="auto" w:fill="auto"/>
            <w:noWrap/>
            <w:vAlign w:val="bottom"/>
            <w:hideMark/>
          </w:tcPr>
          <w:p w14:paraId="248EAB21"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20,0 </w:t>
            </w:r>
          </w:p>
        </w:tc>
      </w:tr>
      <w:tr w:rsidR="00885AA1" w:rsidRPr="00A710CE" w14:paraId="2EE778EE" w14:textId="77777777" w:rsidTr="001F43C9">
        <w:trPr>
          <w:trHeight w:val="300"/>
        </w:trPr>
        <w:tc>
          <w:tcPr>
            <w:tcW w:w="1531" w:type="pct"/>
            <w:tcBorders>
              <w:top w:val="nil"/>
              <w:left w:val="nil"/>
              <w:right w:val="nil"/>
            </w:tcBorders>
            <w:shd w:val="clear" w:color="000000" w:fill="CEDBF0"/>
            <w:noWrap/>
            <w:vAlign w:val="bottom"/>
            <w:hideMark/>
          </w:tcPr>
          <w:p w14:paraId="2DC729B4"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Aalborg</w:t>
            </w:r>
          </w:p>
        </w:tc>
        <w:tc>
          <w:tcPr>
            <w:tcW w:w="1723" w:type="pct"/>
            <w:tcBorders>
              <w:top w:val="nil"/>
              <w:left w:val="nil"/>
              <w:right w:val="nil"/>
            </w:tcBorders>
            <w:shd w:val="clear" w:color="000000" w:fill="CEDBF0"/>
            <w:noWrap/>
            <w:vAlign w:val="bottom"/>
            <w:hideMark/>
          </w:tcPr>
          <w:p w14:paraId="4C97ACC4"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1.741,2 </w:t>
            </w:r>
          </w:p>
        </w:tc>
        <w:tc>
          <w:tcPr>
            <w:tcW w:w="1746" w:type="pct"/>
            <w:tcBorders>
              <w:top w:val="nil"/>
              <w:left w:val="nil"/>
              <w:right w:val="nil"/>
            </w:tcBorders>
            <w:shd w:val="clear" w:color="000000" w:fill="CEDBF0"/>
            <w:noWrap/>
            <w:vAlign w:val="bottom"/>
            <w:hideMark/>
          </w:tcPr>
          <w:p w14:paraId="71CBB4E4"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51,9 </w:t>
            </w:r>
          </w:p>
        </w:tc>
      </w:tr>
      <w:tr w:rsidR="00885AA1" w:rsidRPr="00A710CE" w14:paraId="179429D8" w14:textId="77777777" w:rsidTr="001F43C9">
        <w:trPr>
          <w:trHeight w:val="300"/>
        </w:trPr>
        <w:tc>
          <w:tcPr>
            <w:tcW w:w="1531" w:type="pct"/>
            <w:tcBorders>
              <w:top w:val="nil"/>
              <w:left w:val="nil"/>
              <w:bottom w:val="single" w:sz="4" w:space="0" w:color="305698"/>
              <w:right w:val="nil"/>
            </w:tcBorders>
            <w:shd w:val="clear" w:color="auto" w:fill="auto"/>
            <w:noWrap/>
            <w:vAlign w:val="bottom"/>
            <w:hideMark/>
          </w:tcPr>
          <w:p w14:paraId="0116FDBC" w14:textId="77777777" w:rsidR="00885AA1" w:rsidRPr="00A710CE" w:rsidRDefault="00885AA1" w:rsidP="00885AA1">
            <w:pPr>
              <w:autoSpaceDE/>
              <w:autoSpaceDN/>
              <w:adjustRightInd/>
              <w:spacing w:line="240" w:lineRule="auto"/>
              <w:textAlignment w:val="auto"/>
              <w:rPr>
                <w:rFonts w:ascii="Calibri" w:hAnsi="Calibri" w:cs="Calibri"/>
                <w:b/>
                <w:bCs/>
                <w:sz w:val="22"/>
                <w:szCs w:val="22"/>
              </w:rPr>
            </w:pPr>
            <w:r w:rsidRPr="00A710CE">
              <w:rPr>
                <w:rFonts w:ascii="Calibri" w:hAnsi="Calibri" w:cs="Calibri"/>
                <w:b/>
                <w:bCs/>
                <w:sz w:val="22"/>
                <w:szCs w:val="22"/>
              </w:rPr>
              <w:t>Aarhus</w:t>
            </w:r>
          </w:p>
        </w:tc>
        <w:tc>
          <w:tcPr>
            <w:tcW w:w="1723" w:type="pct"/>
            <w:tcBorders>
              <w:top w:val="nil"/>
              <w:left w:val="nil"/>
              <w:bottom w:val="single" w:sz="4" w:space="0" w:color="305698"/>
              <w:right w:val="nil"/>
            </w:tcBorders>
            <w:shd w:val="clear" w:color="auto" w:fill="auto"/>
            <w:noWrap/>
            <w:vAlign w:val="bottom"/>
            <w:hideMark/>
          </w:tcPr>
          <w:p w14:paraId="6A10BC68"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2.057,6 </w:t>
            </w:r>
          </w:p>
        </w:tc>
        <w:tc>
          <w:tcPr>
            <w:tcW w:w="1746" w:type="pct"/>
            <w:tcBorders>
              <w:top w:val="nil"/>
              <w:left w:val="nil"/>
              <w:bottom w:val="single" w:sz="4" w:space="0" w:color="305698"/>
              <w:right w:val="nil"/>
            </w:tcBorders>
            <w:shd w:val="clear" w:color="auto" w:fill="auto"/>
            <w:noWrap/>
            <w:vAlign w:val="bottom"/>
            <w:hideMark/>
          </w:tcPr>
          <w:p w14:paraId="1F18DAF2" w14:textId="77777777" w:rsidR="00885AA1" w:rsidRPr="00A710CE" w:rsidRDefault="00885AA1" w:rsidP="00F15155">
            <w:pPr>
              <w:autoSpaceDE/>
              <w:autoSpaceDN/>
              <w:adjustRightInd/>
              <w:spacing w:line="240" w:lineRule="auto"/>
              <w:jc w:val="right"/>
              <w:textAlignment w:val="auto"/>
              <w:rPr>
                <w:rFonts w:ascii="Calibri" w:hAnsi="Calibri" w:cs="Calibri"/>
                <w:sz w:val="22"/>
                <w:szCs w:val="22"/>
              </w:rPr>
            </w:pPr>
            <w:r w:rsidRPr="00A710CE">
              <w:rPr>
                <w:rFonts w:ascii="Calibri" w:hAnsi="Calibri" w:cs="Calibri"/>
                <w:sz w:val="22"/>
                <w:szCs w:val="22"/>
              </w:rPr>
              <w:t xml:space="preserve">                                 57,9 </w:t>
            </w:r>
          </w:p>
        </w:tc>
      </w:tr>
    </w:tbl>
    <w:p w14:paraId="7F7696DF" w14:textId="77777777" w:rsidR="001F43C9" w:rsidRDefault="001F43C9" w:rsidP="001F43C9">
      <w:pPr>
        <w:autoSpaceDE/>
        <w:autoSpaceDN/>
        <w:adjustRightInd/>
        <w:spacing w:line="240" w:lineRule="auto"/>
        <w:textAlignment w:val="auto"/>
        <w:rPr>
          <w:rFonts w:ascii="Calibri" w:hAnsi="Calibri" w:cs="Calibri"/>
        </w:rPr>
      </w:pPr>
      <w:r w:rsidRPr="00A710CE">
        <w:rPr>
          <w:rFonts w:ascii="Calibri" w:hAnsi="Calibri" w:cs="Calibri"/>
        </w:rPr>
        <w:t>Kilde</w:t>
      </w:r>
      <w:r>
        <w:rPr>
          <w:rFonts w:ascii="Calibri" w:hAnsi="Calibri" w:cs="Calibri"/>
        </w:rPr>
        <w:t xml:space="preserve">: Statistikbanken; BUDK32 og egne beregninger. </w:t>
      </w:r>
    </w:p>
    <w:p w14:paraId="0386D3CA" w14:textId="77777777" w:rsidR="001F43C9" w:rsidRPr="00DA122D" w:rsidRDefault="001F43C9" w:rsidP="001F43C9">
      <w:pPr>
        <w:autoSpaceDE/>
        <w:autoSpaceDN/>
        <w:adjustRightInd/>
        <w:spacing w:line="240" w:lineRule="auto"/>
        <w:textAlignment w:val="auto"/>
        <w:rPr>
          <w:rFonts w:ascii="Calibri" w:hAnsi="Calibri" w:cs="Calibri"/>
        </w:rPr>
      </w:pPr>
      <w:r w:rsidRPr="00DA122D">
        <w:rPr>
          <w:rFonts w:ascii="Calibri" w:hAnsi="Calibri" w:cs="Calibri"/>
        </w:rPr>
        <w:t>Note: Se note II f</w:t>
      </w:r>
      <w:r w:rsidRPr="00F224A6">
        <w:rPr>
          <w:rFonts w:ascii="Calibri" w:hAnsi="Calibri" w:cs="Calibri"/>
        </w:rPr>
        <w:t>ra</w:t>
      </w:r>
      <w:r>
        <w:rPr>
          <w:rFonts w:ascii="Calibri" w:hAnsi="Calibri" w:cs="Calibri"/>
        </w:rPr>
        <w:t xml:space="preserve"> tabel 1.</w:t>
      </w:r>
    </w:p>
    <w:p w14:paraId="33F79235" w14:textId="77777777" w:rsidR="00557A09" w:rsidRPr="00A710CE" w:rsidRDefault="00557A09">
      <w:pPr>
        <w:autoSpaceDE/>
        <w:autoSpaceDN/>
        <w:adjustRightInd/>
        <w:spacing w:line="240" w:lineRule="auto"/>
        <w:textAlignment w:val="auto"/>
        <w:rPr>
          <w:rFonts w:ascii="Calibri" w:hAnsi="Calibri" w:cs="Calibri"/>
        </w:rPr>
      </w:pPr>
    </w:p>
    <w:p w14:paraId="07FD61A3" w14:textId="4B69F88F" w:rsidR="00557A09" w:rsidRDefault="00557A09">
      <w:pPr>
        <w:autoSpaceDE/>
        <w:autoSpaceDN/>
        <w:adjustRightInd/>
        <w:spacing w:line="240" w:lineRule="auto"/>
        <w:textAlignment w:val="auto"/>
        <w:rPr>
          <w:rFonts w:ascii="Calibri" w:hAnsi="Calibri" w:cs="Calibri"/>
          <w:sz w:val="22"/>
          <w:szCs w:val="22"/>
        </w:rPr>
      </w:pPr>
    </w:p>
    <w:p w14:paraId="3B71535A" w14:textId="05977D63" w:rsidR="00C36398" w:rsidRDefault="00C36398">
      <w:pPr>
        <w:autoSpaceDE/>
        <w:autoSpaceDN/>
        <w:adjustRightInd/>
        <w:spacing w:line="240" w:lineRule="auto"/>
        <w:textAlignment w:val="auto"/>
        <w:rPr>
          <w:rFonts w:ascii="Calibri" w:hAnsi="Calibri" w:cs="Calibri"/>
          <w:sz w:val="22"/>
          <w:szCs w:val="22"/>
        </w:rPr>
      </w:pPr>
    </w:p>
    <w:p w14:paraId="1FB202B4" w14:textId="0B1E6EAA" w:rsidR="00C36398" w:rsidRDefault="00C36398">
      <w:pPr>
        <w:autoSpaceDE/>
        <w:autoSpaceDN/>
        <w:adjustRightInd/>
        <w:spacing w:line="240" w:lineRule="auto"/>
        <w:textAlignment w:val="auto"/>
        <w:rPr>
          <w:rFonts w:ascii="Calibri" w:hAnsi="Calibri" w:cs="Calibri"/>
          <w:sz w:val="22"/>
          <w:szCs w:val="22"/>
        </w:rPr>
      </w:pPr>
    </w:p>
    <w:p w14:paraId="298816DF" w14:textId="64E23BCE" w:rsidR="00C36398" w:rsidRDefault="00C36398">
      <w:pPr>
        <w:autoSpaceDE/>
        <w:autoSpaceDN/>
        <w:adjustRightInd/>
        <w:spacing w:line="240" w:lineRule="auto"/>
        <w:textAlignment w:val="auto"/>
        <w:rPr>
          <w:rFonts w:ascii="Calibri" w:hAnsi="Calibri" w:cs="Calibri"/>
          <w:sz w:val="22"/>
          <w:szCs w:val="22"/>
        </w:rPr>
      </w:pPr>
    </w:p>
    <w:p w14:paraId="561D4306" w14:textId="3BA11A51" w:rsidR="00C36398" w:rsidRDefault="00C36398">
      <w:pPr>
        <w:autoSpaceDE/>
        <w:autoSpaceDN/>
        <w:adjustRightInd/>
        <w:spacing w:line="240" w:lineRule="auto"/>
        <w:textAlignment w:val="auto"/>
        <w:rPr>
          <w:rFonts w:ascii="Calibri" w:hAnsi="Calibri" w:cs="Calibri"/>
          <w:sz w:val="22"/>
          <w:szCs w:val="22"/>
        </w:rPr>
      </w:pPr>
    </w:p>
    <w:p w14:paraId="2E7B66CD" w14:textId="4F2383FD" w:rsidR="00C36398" w:rsidRDefault="00C36398">
      <w:pPr>
        <w:autoSpaceDE/>
        <w:autoSpaceDN/>
        <w:adjustRightInd/>
        <w:spacing w:line="240" w:lineRule="auto"/>
        <w:textAlignment w:val="auto"/>
        <w:rPr>
          <w:rFonts w:ascii="Calibri" w:hAnsi="Calibri" w:cs="Calibri"/>
          <w:sz w:val="22"/>
          <w:szCs w:val="22"/>
        </w:rPr>
      </w:pPr>
    </w:p>
    <w:p w14:paraId="208B5F9F" w14:textId="1DE02105" w:rsidR="00C36398" w:rsidRDefault="00C36398">
      <w:pPr>
        <w:autoSpaceDE/>
        <w:autoSpaceDN/>
        <w:adjustRightInd/>
        <w:spacing w:line="240" w:lineRule="auto"/>
        <w:textAlignment w:val="auto"/>
        <w:rPr>
          <w:rFonts w:ascii="Calibri" w:hAnsi="Calibri" w:cs="Calibri"/>
          <w:sz w:val="22"/>
          <w:szCs w:val="22"/>
        </w:rPr>
      </w:pPr>
    </w:p>
    <w:p w14:paraId="3A5F7085" w14:textId="7A6C5E87" w:rsidR="00C36398" w:rsidRDefault="00C36398">
      <w:pPr>
        <w:autoSpaceDE/>
        <w:autoSpaceDN/>
        <w:adjustRightInd/>
        <w:spacing w:line="240" w:lineRule="auto"/>
        <w:textAlignment w:val="auto"/>
        <w:rPr>
          <w:rFonts w:ascii="Calibri" w:hAnsi="Calibri" w:cs="Calibri"/>
          <w:sz w:val="22"/>
          <w:szCs w:val="22"/>
        </w:rPr>
      </w:pPr>
    </w:p>
    <w:p w14:paraId="2A73546F" w14:textId="257AF5AD" w:rsidR="00C36398" w:rsidRDefault="00C36398">
      <w:pPr>
        <w:autoSpaceDE/>
        <w:autoSpaceDN/>
        <w:adjustRightInd/>
        <w:spacing w:line="240" w:lineRule="auto"/>
        <w:textAlignment w:val="auto"/>
        <w:rPr>
          <w:rFonts w:ascii="Calibri" w:hAnsi="Calibri" w:cs="Calibri"/>
          <w:sz w:val="22"/>
          <w:szCs w:val="22"/>
        </w:rPr>
      </w:pPr>
    </w:p>
    <w:p w14:paraId="792FAF08" w14:textId="355AC729" w:rsidR="00C36398" w:rsidRDefault="00C36398">
      <w:pPr>
        <w:autoSpaceDE/>
        <w:autoSpaceDN/>
        <w:adjustRightInd/>
        <w:spacing w:line="240" w:lineRule="auto"/>
        <w:textAlignment w:val="auto"/>
        <w:rPr>
          <w:rFonts w:ascii="Calibri" w:hAnsi="Calibri" w:cs="Calibri"/>
          <w:sz w:val="22"/>
          <w:szCs w:val="22"/>
        </w:rPr>
      </w:pPr>
    </w:p>
    <w:p w14:paraId="7697301B" w14:textId="211D6F33" w:rsidR="00C36398" w:rsidRDefault="00C36398">
      <w:pPr>
        <w:autoSpaceDE/>
        <w:autoSpaceDN/>
        <w:adjustRightInd/>
        <w:spacing w:line="240" w:lineRule="auto"/>
        <w:textAlignment w:val="auto"/>
        <w:rPr>
          <w:rFonts w:ascii="Calibri" w:hAnsi="Calibri" w:cs="Calibri"/>
          <w:sz w:val="22"/>
          <w:szCs w:val="22"/>
        </w:rPr>
      </w:pPr>
    </w:p>
    <w:p w14:paraId="013FC6E1" w14:textId="06BD66EE" w:rsidR="00C36398" w:rsidRDefault="00C36398">
      <w:pPr>
        <w:autoSpaceDE/>
        <w:autoSpaceDN/>
        <w:adjustRightInd/>
        <w:spacing w:line="240" w:lineRule="auto"/>
        <w:textAlignment w:val="auto"/>
        <w:rPr>
          <w:rFonts w:ascii="Calibri" w:hAnsi="Calibri" w:cs="Calibri"/>
          <w:sz w:val="22"/>
          <w:szCs w:val="22"/>
        </w:rPr>
      </w:pPr>
    </w:p>
    <w:p w14:paraId="2B226CFD" w14:textId="62BBF18C" w:rsidR="00C36398" w:rsidRDefault="00C36398">
      <w:pPr>
        <w:autoSpaceDE/>
        <w:autoSpaceDN/>
        <w:adjustRightInd/>
        <w:spacing w:line="240" w:lineRule="auto"/>
        <w:textAlignment w:val="auto"/>
        <w:rPr>
          <w:rFonts w:ascii="Calibri" w:hAnsi="Calibri" w:cs="Calibri"/>
          <w:sz w:val="22"/>
          <w:szCs w:val="22"/>
        </w:rPr>
      </w:pPr>
    </w:p>
    <w:p w14:paraId="5F2E82ED" w14:textId="1661B862" w:rsidR="00C36398" w:rsidRDefault="00C36398">
      <w:pPr>
        <w:autoSpaceDE/>
        <w:autoSpaceDN/>
        <w:adjustRightInd/>
        <w:spacing w:line="240" w:lineRule="auto"/>
        <w:textAlignment w:val="auto"/>
        <w:rPr>
          <w:rFonts w:ascii="Calibri" w:hAnsi="Calibri" w:cs="Calibri"/>
          <w:sz w:val="22"/>
          <w:szCs w:val="22"/>
        </w:rPr>
      </w:pPr>
    </w:p>
    <w:p w14:paraId="3DEB4BDD" w14:textId="06CA22F9" w:rsidR="00C36398" w:rsidRDefault="00C36398">
      <w:pPr>
        <w:autoSpaceDE/>
        <w:autoSpaceDN/>
        <w:adjustRightInd/>
        <w:spacing w:line="240" w:lineRule="auto"/>
        <w:textAlignment w:val="auto"/>
        <w:rPr>
          <w:rFonts w:ascii="Calibri" w:hAnsi="Calibri" w:cs="Calibri"/>
          <w:sz w:val="22"/>
          <w:szCs w:val="22"/>
        </w:rPr>
      </w:pPr>
    </w:p>
    <w:p w14:paraId="13AC5B17" w14:textId="562F3069" w:rsidR="00C36398" w:rsidRDefault="00C36398">
      <w:pPr>
        <w:autoSpaceDE/>
        <w:autoSpaceDN/>
        <w:adjustRightInd/>
        <w:spacing w:line="240" w:lineRule="auto"/>
        <w:textAlignment w:val="auto"/>
        <w:rPr>
          <w:rFonts w:ascii="Calibri" w:hAnsi="Calibri" w:cs="Calibri"/>
          <w:sz w:val="22"/>
          <w:szCs w:val="22"/>
        </w:rPr>
      </w:pPr>
    </w:p>
    <w:p w14:paraId="6B6108AE" w14:textId="0496E191" w:rsidR="00C36398" w:rsidRDefault="00C36398">
      <w:pPr>
        <w:autoSpaceDE/>
        <w:autoSpaceDN/>
        <w:adjustRightInd/>
        <w:spacing w:line="240" w:lineRule="auto"/>
        <w:textAlignment w:val="auto"/>
        <w:rPr>
          <w:rFonts w:ascii="Calibri" w:hAnsi="Calibri" w:cs="Calibri"/>
          <w:sz w:val="22"/>
          <w:szCs w:val="22"/>
        </w:rPr>
      </w:pPr>
    </w:p>
    <w:p w14:paraId="2B582FF3" w14:textId="7134408F" w:rsidR="00C36398" w:rsidRDefault="00C36398">
      <w:pPr>
        <w:autoSpaceDE/>
        <w:autoSpaceDN/>
        <w:adjustRightInd/>
        <w:spacing w:line="240" w:lineRule="auto"/>
        <w:textAlignment w:val="auto"/>
        <w:rPr>
          <w:rFonts w:ascii="Calibri" w:hAnsi="Calibri" w:cs="Calibri"/>
          <w:sz w:val="22"/>
          <w:szCs w:val="22"/>
        </w:rPr>
      </w:pPr>
    </w:p>
    <w:p w14:paraId="7C9DB27E" w14:textId="48D5986A" w:rsidR="00C36398" w:rsidRDefault="00C36398">
      <w:pPr>
        <w:autoSpaceDE/>
        <w:autoSpaceDN/>
        <w:adjustRightInd/>
        <w:spacing w:line="240" w:lineRule="auto"/>
        <w:textAlignment w:val="auto"/>
        <w:rPr>
          <w:rFonts w:ascii="Calibri" w:hAnsi="Calibri" w:cs="Calibri"/>
          <w:sz w:val="22"/>
          <w:szCs w:val="22"/>
        </w:rPr>
      </w:pPr>
    </w:p>
    <w:p w14:paraId="4544F219" w14:textId="01088FE3" w:rsidR="00C36398" w:rsidRDefault="00C36398">
      <w:pPr>
        <w:autoSpaceDE/>
        <w:autoSpaceDN/>
        <w:adjustRightInd/>
        <w:spacing w:line="240" w:lineRule="auto"/>
        <w:textAlignment w:val="auto"/>
        <w:rPr>
          <w:rFonts w:ascii="Calibri" w:hAnsi="Calibri" w:cs="Calibri"/>
          <w:sz w:val="22"/>
          <w:szCs w:val="22"/>
        </w:rPr>
      </w:pPr>
    </w:p>
    <w:p w14:paraId="4084B308" w14:textId="3DD52342" w:rsidR="00C36398" w:rsidRDefault="00C36398">
      <w:pPr>
        <w:autoSpaceDE/>
        <w:autoSpaceDN/>
        <w:adjustRightInd/>
        <w:spacing w:line="240" w:lineRule="auto"/>
        <w:textAlignment w:val="auto"/>
        <w:rPr>
          <w:rFonts w:ascii="Calibri" w:hAnsi="Calibri" w:cs="Calibri"/>
          <w:sz w:val="22"/>
          <w:szCs w:val="22"/>
        </w:rPr>
      </w:pPr>
    </w:p>
    <w:p w14:paraId="34B668C1" w14:textId="54DD7C6B" w:rsidR="00C36398" w:rsidRDefault="00C36398">
      <w:pPr>
        <w:autoSpaceDE/>
        <w:autoSpaceDN/>
        <w:adjustRightInd/>
        <w:spacing w:line="240" w:lineRule="auto"/>
        <w:textAlignment w:val="auto"/>
        <w:rPr>
          <w:rFonts w:ascii="Calibri" w:hAnsi="Calibri" w:cs="Calibri"/>
          <w:sz w:val="22"/>
          <w:szCs w:val="22"/>
        </w:rPr>
      </w:pPr>
    </w:p>
    <w:p w14:paraId="4FFAF993" w14:textId="6A455B09" w:rsidR="00C36398" w:rsidRDefault="00C36398">
      <w:pPr>
        <w:autoSpaceDE/>
        <w:autoSpaceDN/>
        <w:adjustRightInd/>
        <w:spacing w:line="240" w:lineRule="auto"/>
        <w:textAlignment w:val="auto"/>
        <w:rPr>
          <w:rFonts w:ascii="Calibri" w:hAnsi="Calibri" w:cs="Calibri"/>
          <w:sz w:val="22"/>
          <w:szCs w:val="22"/>
        </w:rPr>
      </w:pPr>
    </w:p>
    <w:p w14:paraId="01C251EC" w14:textId="16CD828F" w:rsidR="00C36398" w:rsidRDefault="00C36398">
      <w:pPr>
        <w:autoSpaceDE/>
        <w:autoSpaceDN/>
        <w:adjustRightInd/>
        <w:spacing w:line="240" w:lineRule="auto"/>
        <w:textAlignment w:val="auto"/>
        <w:rPr>
          <w:rFonts w:ascii="Calibri" w:hAnsi="Calibri" w:cs="Calibri"/>
          <w:sz w:val="22"/>
          <w:szCs w:val="22"/>
        </w:rPr>
      </w:pPr>
    </w:p>
    <w:p w14:paraId="651667CA" w14:textId="279897EF" w:rsidR="00C36398" w:rsidRDefault="00C36398">
      <w:pPr>
        <w:autoSpaceDE/>
        <w:autoSpaceDN/>
        <w:adjustRightInd/>
        <w:spacing w:line="240" w:lineRule="auto"/>
        <w:textAlignment w:val="auto"/>
        <w:rPr>
          <w:rFonts w:ascii="Calibri" w:hAnsi="Calibri" w:cs="Calibri"/>
          <w:sz w:val="22"/>
          <w:szCs w:val="22"/>
        </w:rPr>
      </w:pPr>
    </w:p>
    <w:p w14:paraId="240986B7" w14:textId="1C81DA9F" w:rsidR="00C36398" w:rsidRDefault="00C36398">
      <w:pPr>
        <w:autoSpaceDE/>
        <w:autoSpaceDN/>
        <w:adjustRightInd/>
        <w:spacing w:line="240" w:lineRule="auto"/>
        <w:textAlignment w:val="auto"/>
        <w:rPr>
          <w:rFonts w:ascii="Calibri" w:hAnsi="Calibri" w:cs="Calibri"/>
          <w:sz w:val="22"/>
          <w:szCs w:val="22"/>
        </w:rPr>
      </w:pPr>
    </w:p>
    <w:p w14:paraId="3CACCBD2" w14:textId="4C140AC2" w:rsidR="00C36398" w:rsidRDefault="00C36398">
      <w:pPr>
        <w:autoSpaceDE/>
        <w:autoSpaceDN/>
        <w:adjustRightInd/>
        <w:spacing w:line="240" w:lineRule="auto"/>
        <w:textAlignment w:val="auto"/>
        <w:rPr>
          <w:rFonts w:ascii="Calibri" w:hAnsi="Calibri" w:cs="Calibri"/>
          <w:sz w:val="22"/>
          <w:szCs w:val="22"/>
        </w:rPr>
      </w:pPr>
    </w:p>
    <w:p w14:paraId="37ED9BA7" w14:textId="77777777" w:rsidR="00C36398" w:rsidRPr="00A710CE" w:rsidRDefault="00C36398">
      <w:pPr>
        <w:autoSpaceDE/>
        <w:autoSpaceDN/>
        <w:adjustRightInd/>
        <w:spacing w:line="240" w:lineRule="auto"/>
        <w:textAlignment w:val="auto"/>
        <w:rPr>
          <w:rFonts w:ascii="Calibri" w:hAnsi="Calibri" w:cs="Calibri"/>
          <w:sz w:val="22"/>
          <w:szCs w:val="22"/>
        </w:rPr>
      </w:pPr>
    </w:p>
    <w:p w14:paraId="329E4232" w14:textId="3D752083" w:rsidR="00557A09" w:rsidRDefault="00557A09">
      <w:pPr>
        <w:autoSpaceDE/>
        <w:autoSpaceDN/>
        <w:adjustRightInd/>
        <w:spacing w:line="240" w:lineRule="auto"/>
        <w:textAlignment w:val="auto"/>
        <w:rPr>
          <w:rFonts w:ascii="Calibri" w:hAnsi="Calibri" w:cs="Calibri"/>
          <w:sz w:val="22"/>
          <w:szCs w:val="22"/>
        </w:rPr>
      </w:pPr>
    </w:p>
    <w:p w14:paraId="7D4E0B77" w14:textId="77777777" w:rsidR="00047BDF" w:rsidRPr="00A710CE" w:rsidRDefault="00047BDF" w:rsidP="00047BDF">
      <w:pPr>
        <w:rPr>
          <w:rFonts w:ascii="Calibri" w:hAnsi="Calibri" w:cs="Calibri"/>
          <w:b/>
          <w:bCs/>
          <w:sz w:val="24"/>
        </w:rPr>
      </w:pPr>
      <w:r w:rsidRPr="00A710CE">
        <w:rPr>
          <w:rFonts w:ascii="Calibri" w:hAnsi="Calibri" w:cs="Calibri"/>
          <w:b/>
          <w:bCs/>
          <w:sz w:val="24"/>
        </w:rPr>
        <w:lastRenderedPageBreak/>
        <w:t xml:space="preserve">Bilag: </w:t>
      </w:r>
      <w:r w:rsidRPr="00A710CE">
        <w:rPr>
          <w:rFonts w:ascii="Calibri" w:hAnsi="Calibri" w:cs="Calibri"/>
          <w:b/>
          <w:bCs/>
          <w:color w:val="000000" w:themeColor="text1"/>
          <w:sz w:val="24"/>
        </w:rPr>
        <w:t>Om Ældre Sagens metode til beregning af det demografisk betingede udgiftsbehov</w:t>
      </w:r>
    </w:p>
    <w:p w14:paraId="5E4D626F" w14:textId="3B77EB00" w:rsidR="00C36398" w:rsidRDefault="00C36398" w:rsidP="00C36398">
      <w:pPr>
        <w:rPr>
          <w:rFonts w:ascii="Calibri" w:hAnsi="Calibri" w:cs="Calibri"/>
          <w:color w:val="000000" w:themeColor="text1"/>
          <w:sz w:val="22"/>
          <w:szCs w:val="22"/>
        </w:rPr>
      </w:pPr>
      <w:r w:rsidRPr="00765DB7">
        <w:rPr>
          <w:rFonts w:ascii="Calibri" w:hAnsi="Calibri" w:cs="Calibri"/>
          <w:color w:val="000000" w:themeColor="text1"/>
          <w:sz w:val="22"/>
          <w:szCs w:val="22"/>
        </w:rPr>
        <w:t xml:space="preserve">Vi har estimeret det rene demografiske træk på de kommunale udgifter som følge af flere ældre. I beregningen tages der </w:t>
      </w:r>
      <w:r w:rsidR="00740FE8">
        <w:rPr>
          <w:rFonts w:ascii="Calibri" w:hAnsi="Calibri" w:cs="Calibri"/>
          <w:color w:val="000000" w:themeColor="text1"/>
          <w:sz w:val="22"/>
          <w:szCs w:val="22"/>
        </w:rPr>
        <w:t xml:space="preserve">derfor </w:t>
      </w:r>
      <w:r w:rsidRPr="00765DB7">
        <w:rPr>
          <w:rFonts w:ascii="Calibri" w:hAnsi="Calibri" w:cs="Calibri"/>
          <w:color w:val="000000" w:themeColor="text1"/>
          <w:sz w:val="22"/>
          <w:szCs w:val="22"/>
        </w:rPr>
        <w:t xml:space="preserve">ikke hensyn til, at udviklingen i andre samfundsforhold kan have betydning for udgiftsbehovet til kommunal ældrepleje m.v. </w:t>
      </w:r>
      <w:r w:rsidR="00876D95">
        <w:rPr>
          <w:rFonts w:ascii="Calibri" w:hAnsi="Calibri" w:cs="Calibri"/>
          <w:color w:val="000000" w:themeColor="text1"/>
          <w:sz w:val="22"/>
          <w:szCs w:val="22"/>
        </w:rPr>
        <w:t>For eksempel hvis helbredet</w:t>
      </w:r>
      <w:r w:rsidRPr="00765DB7">
        <w:rPr>
          <w:rFonts w:ascii="Calibri" w:hAnsi="Calibri" w:cs="Calibri"/>
          <w:color w:val="000000" w:themeColor="text1"/>
          <w:sz w:val="22"/>
          <w:szCs w:val="22"/>
        </w:rPr>
        <w:t xml:space="preserve"> hos den ældre befolkning forbedres over tiden, vil behovet for hjælp alt andet lige blive mindre. </w:t>
      </w:r>
    </w:p>
    <w:p w14:paraId="59C625AC" w14:textId="77777777" w:rsidR="00C36398" w:rsidRPr="00765DB7" w:rsidRDefault="00C36398" w:rsidP="00C36398">
      <w:pPr>
        <w:rPr>
          <w:rFonts w:ascii="Calibri" w:hAnsi="Calibri" w:cs="Calibri"/>
          <w:color w:val="000000" w:themeColor="text1"/>
          <w:sz w:val="22"/>
          <w:szCs w:val="22"/>
        </w:rPr>
      </w:pPr>
    </w:p>
    <w:p w14:paraId="21A02029" w14:textId="2B0F2D62" w:rsidR="00C36398" w:rsidRDefault="00C36398" w:rsidP="00C36398">
      <w:pPr>
        <w:rPr>
          <w:rFonts w:ascii="Calibri" w:hAnsi="Calibri" w:cs="Calibri"/>
          <w:color w:val="000000" w:themeColor="text1"/>
          <w:sz w:val="22"/>
          <w:szCs w:val="22"/>
        </w:rPr>
      </w:pPr>
      <w:r w:rsidRPr="00765DB7">
        <w:rPr>
          <w:rFonts w:ascii="Calibri" w:hAnsi="Calibri" w:cs="Calibri"/>
          <w:color w:val="000000" w:themeColor="text1"/>
          <w:sz w:val="22"/>
          <w:szCs w:val="22"/>
        </w:rPr>
        <w:t>I beregningerne af det demografisk</w:t>
      </w:r>
      <w:r w:rsidR="00DF6E26">
        <w:rPr>
          <w:rFonts w:ascii="Calibri" w:hAnsi="Calibri" w:cs="Calibri"/>
          <w:color w:val="000000" w:themeColor="text1"/>
          <w:sz w:val="22"/>
          <w:szCs w:val="22"/>
        </w:rPr>
        <w:t xml:space="preserve"> </w:t>
      </w:r>
      <w:r w:rsidRPr="00765DB7">
        <w:rPr>
          <w:rFonts w:ascii="Calibri" w:hAnsi="Calibri" w:cs="Calibri"/>
          <w:color w:val="000000" w:themeColor="text1"/>
          <w:sz w:val="22"/>
          <w:szCs w:val="22"/>
        </w:rPr>
        <w:t xml:space="preserve">betingede ekstra udgiftsbehov fra 2010 til 2021 har vi taget udgangspunkt i den gennemsnitlige omkostning pr. ældre borger i 2010 og fremskrevet udgifterne på baggrund af befolkningsudviklingen. Ved at sammenligne disse beregnede udgifter med de faktiske kommunale udgifter på ældreområdet i perioden frem til 2021, fås den manglende demografikompensation i hvert år. Det vil sige det beløb, som der skulle være brugt </w:t>
      </w:r>
      <w:r w:rsidR="00045027" w:rsidRPr="00765DB7">
        <w:rPr>
          <w:rFonts w:ascii="Calibri" w:hAnsi="Calibri" w:cs="Calibri"/>
          <w:color w:val="000000" w:themeColor="text1"/>
          <w:sz w:val="22"/>
          <w:szCs w:val="22"/>
        </w:rPr>
        <w:t xml:space="preserve">ekstra </w:t>
      </w:r>
      <w:r w:rsidRPr="00765DB7">
        <w:rPr>
          <w:rFonts w:ascii="Calibri" w:hAnsi="Calibri" w:cs="Calibri"/>
          <w:color w:val="000000" w:themeColor="text1"/>
          <w:sz w:val="22"/>
          <w:szCs w:val="22"/>
        </w:rPr>
        <w:t>på ældreområdet, hvis pengene var fulgt med udviklingen i antallet af ældre.</w:t>
      </w:r>
    </w:p>
    <w:p w14:paraId="16FE9538" w14:textId="77777777" w:rsidR="00C36398" w:rsidRPr="00765DB7" w:rsidRDefault="00C36398" w:rsidP="00C36398">
      <w:pPr>
        <w:rPr>
          <w:rFonts w:ascii="Calibri" w:hAnsi="Calibri" w:cs="Calibri"/>
          <w:color w:val="000000" w:themeColor="text1"/>
          <w:sz w:val="22"/>
          <w:szCs w:val="22"/>
        </w:rPr>
      </w:pPr>
    </w:p>
    <w:p w14:paraId="3FAF5465" w14:textId="77777777" w:rsidR="00C36398" w:rsidRDefault="00C36398" w:rsidP="00C36398">
      <w:pPr>
        <w:rPr>
          <w:rFonts w:ascii="Calibri" w:hAnsi="Calibri" w:cs="Calibri"/>
          <w:color w:val="000000" w:themeColor="text1"/>
          <w:sz w:val="22"/>
          <w:szCs w:val="22"/>
        </w:rPr>
      </w:pPr>
      <w:r w:rsidRPr="00765DB7">
        <w:rPr>
          <w:rFonts w:ascii="Calibri" w:hAnsi="Calibri" w:cs="Calibri"/>
          <w:color w:val="000000" w:themeColor="text1"/>
          <w:sz w:val="22"/>
          <w:szCs w:val="22"/>
        </w:rPr>
        <w:t>Idet risikoen for, at man får brug for kommunale ydelser inden for ældreområdet samt omfanget af de ydelser, man får behov for, stiger med alderen, vægter alle ældre ikke ens i beregningen. Vi har estimeret et sæt af vægte for, hvor ”udgiftstunge” ældre borgere i forskellige aldersgrupper er i gennemsnit i forhold til de kommunale ældreudgifter.</w:t>
      </w:r>
    </w:p>
    <w:p w14:paraId="4445725E" w14:textId="77777777" w:rsidR="00C36398" w:rsidRPr="00765DB7" w:rsidRDefault="00C36398" w:rsidP="00C36398">
      <w:pPr>
        <w:rPr>
          <w:rFonts w:ascii="Calibri" w:hAnsi="Calibri" w:cs="Calibri"/>
          <w:color w:val="000000" w:themeColor="text1"/>
          <w:sz w:val="22"/>
          <w:szCs w:val="22"/>
        </w:rPr>
      </w:pPr>
    </w:p>
    <w:p w14:paraId="37416B86" w14:textId="05FEDF89" w:rsidR="00C36398" w:rsidRDefault="00C36398" w:rsidP="00C36398">
      <w:pPr>
        <w:rPr>
          <w:rFonts w:ascii="Calibri" w:hAnsi="Calibri" w:cs="Calibri"/>
          <w:color w:val="000000" w:themeColor="text1"/>
          <w:sz w:val="22"/>
          <w:szCs w:val="22"/>
        </w:rPr>
      </w:pPr>
      <w:r w:rsidRPr="00765DB7">
        <w:rPr>
          <w:rFonts w:ascii="Calibri" w:hAnsi="Calibri" w:cs="Calibri"/>
          <w:color w:val="000000" w:themeColor="text1"/>
          <w:sz w:val="22"/>
          <w:szCs w:val="22"/>
        </w:rPr>
        <w:t>Vægtene er lavet ud fra aldersfordelte enhedsomkostninger til ældrepleje</w:t>
      </w:r>
      <w:r w:rsidR="006F0252">
        <w:rPr>
          <w:rFonts w:ascii="Calibri" w:hAnsi="Calibri" w:cs="Calibri"/>
          <w:color w:val="000000" w:themeColor="text1"/>
          <w:sz w:val="22"/>
          <w:szCs w:val="22"/>
        </w:rPr>
        <w:t>n</w:t>
      </w:r>
      <w:r w:rsidRPr="00765DB7">
        <w:rPr>
          <w:rFonts w:ascii="Calibri" w:hAnsi="Calibri" w:cs="Calibri"/>
          <w:color w:val="000000" w:themeColor="text1"/>
          <w:sz w:val="22"/>
          <w:szCs w:val="22"/>
        </w:rPr>
        <w:t>.</w:t>
      </w:r>
      <w:r w:rsidR="00351F15">
        <w:rPr>
          <w:rFonts w:ascii="Calibri" w:hAnsi="Calibri" w:cs="Calibri"/>
          <w:color w:val="000000" w:themeColor="text1"/>
          <w:sz w:val="22"/>
          <w:szCs w:val="22"/>
        </w:rPr>
        <w:t xml:space="preserve"> Disse enhedsomkostninger stammer fra en endnu ikke offentliggjort ekstern konsulentrapport, som udarbejdes på vegne af Ældre Sagen (forventes offentliggjort i efteråret 2021).</w:t>
      </w:r>
      <w:r w:rsidRPr="00765DB7">
        <w:rPr>
          <w:rFonts w:ascii="Calibri" w:hAnsi="Calibri" w:cs="Calibri"/>
          <w:color w:val="000000" w:themeColor="text1"/>
          <w:sz w:val="22"/>
          <w:szCs w:val="22"/>
        </w:rPr>
        <w:t xml:space="preserve"> De anvendte vægte ses </w:t>
      </w:r>
      <w:r w:rsidR="00FF09F4">
        <w:rPr>
          <w:rFonts w:ascii="Calibri" w:hAnsi="Calibri" w:cs="Calibri"/>
          <w:color w:val="000000" w:themeColor="text1"/>
          <w:sz w:val="22"/>
          <w:szCs w:val="22"/>
        </w:rPr>
        <w:t>i tabel 4</w:t>
      </w:r>
      <w:r w:rsidRPr="00765DB7">
        <w:rPr>
          <w:rFonts w:ascii="Calibri" w:hAnsi="Calibri" w:cs="Calibri"/>
          <w:color w:val="000000" w:themeColor="text1"/>
          <w:sz w:val="22"/>
          <w:szCs w:val="22"/>
        </w:rPr>
        <w:t>.</w:t>
      </w:r>
      <w:r w:rsidR="00FF09F4">
        <w:rPr>
          <w:rFonts w:ascii="Calibri" w:hAnsi="Calibri" w:cs="Calibri"/>
          <w:color w:val="000000" w:themeColor="text1"/>
          <w:sz w:val="22"/>
          <w:szCs w:val="22"/>
        </w:rPr>
        <w:t xml:space="preserve"> </w:t>
      </w:r>
      <w:r w:rsidRPr="00765DB7">
        <w:rPr>
          <w:rFonts w:ascii="Calibri" w:hAnsi="Calibri" w:cs="Calibri"/>
          <w:color w:val="000000" w:themeColor="text1"/>
          <w:sz w:val="22"/>
          <w:szCs w:val="22"/>
        </w:rPr>
        <w:t xml:space="preserve">Ud </w:t>
      </w:r>
      <w:r w:rsidR="00FF09F4">
        <w:rPr>
          <w:rFonts w:ascii="Calibri" w:hAnsi="Calibri" w:cs="Calibri"/>
          <w:color w:val="000000" w:themeColor="text1"/>
          <w:sz w:val="22"/>
          <w:szCs w:val="22"/>
        </w:rPr>
        <w:t>fra</w:t>
      </w:r>
      <w:r w:rsidRPr="00765DB7">
        <w:rPr>
          <w:rFonts w:ascii="Calibri" w:hAnsi="Calibri" w:cs="Calibri"/>
          <w:color w:val="000000" w:themeColor="text1"/>
          <w:sz w:val="22"/>
          <w:szCs w:val="22"/>
        </w:rPr>
        <w:t xml:space="preserve"> disse vægte og de samlede ældreudgifter i 2010, har vi beregnet de årlige omkostninger pr. borger i 2010 for forskellige aldersgrupper (som her kaldes for ”enhedsomkostningerne”). </w:t>
      </w:r>
    </w:p>
    <w:p w14:paraId="63C6B251" w14:textId="77777777" w:rsidR="00C36398" w:rsidRPr="00765DB7" w:rsidRDefault="00C36398" w:rsidP="00C36398">
      <w:pPr>
        <w:rPr>
          <w:rFonts w:ascii="Calibri" w:hAnsi="Calibri" w:cs="Calibri"/>
          <w:color w:val="000000" w:themeColor="text1"/>
          <w:sz w:val="22"/>
          <w:szCs w:val="22"/>
        </w:rPr>
      </w:pPr>
    </w:p>
    <w:p w14:paraId="58B3C7EF" w14:textId="2B47B11E" w:rsidR="00C36398" w:rsidRDefault="00C36398" w:rsidP="00C36398">
      <w:pPr>
        <w:rPr>
          <w:rFonts w:ascii="Calibri" w:hAnsi="Calibri" w:cs="Calibri"/>
          <w:color w:val="000000" w:themeColor="text1"/>
          <w:sz w:val="22"/>
          <w:szCs w:val="22"/>
        </w:rPr>
      </w:pPr>
      <w:r w:rsidRPr="00765DB7">
        <w:rPr>
          <w:rFonts w:ascii="Calibri" w:hAnsi="Calibri" w:cs="Calibri"/>
          <w:color w:val="000000" w:themeColor="text1"/>
          <w:sz w:val="22"/>
          <w:szCs w:val="22"/>
        </w:rPr>
        <w:t xml:space="preserve">Der er </w:t>
      </w:r>
      <w:r w:rsidR="006F0252">
        <w:rPr>
          <w:rFonts w:ascii="Calibri" w:hAnsi="Calibri" w:cs="Calibri"/>
          <w:color w:val="000000" w:themeColor="text1"/>
          <w:sz w:val="22"/>
          <w:szCs w:val="22"/>
        </w:rPr>
        <w:t xml:space="preserve">en </w:t>
      </w:r>
      <w:r w:rsidRPr="00765DB7">
        <w:rPr>
          <w:rFonts w:ascii="Calibri" w:hAnsi="Calibri" w:cs="Calibri"/>
          <w:color w:val="000000" w:themeColor="text1"/>
          <w:sz w:val="22"/>
          <w:szCs w:val="22"/>
        </w:rPr>
        <w:t xml:space="preserve">usikkerhed </w:t>
      </w:r>
      <w:r w:rsidR="006F0252">
        <w:rPr>
          <w:rFonts w:ascii="Calibri" w:hAnsi="Calibri" w:cs="Calibri"/>
          <w:color w:val="000000" w:themeColor="text1"/>
          <w:sz w:val="22"/>
          <w:szCs w:val="22"/>
        </w:rPr>
        <w:t xml:space="preserve">forbundet med </w:t>
      </w:r>
      <w:r w:rsidRPr="00375CEB">
        <w:rPr>
          <w:rFonts w:ascii="Calibri" w:hAnsi="Calibri" w:cs="Calibri"/>
          <w:color w:val="000000" w:themeColor="text1"/>
          <w:sz w:val="22"/>
          <w:szCs w:val="22"/>
        </w:rPr>
        <w:t xml:space="preserve">de anvendte vægte. For det første er de baseret på tal for enhedsomkostningerne til praktisk hjælp og </w:t>
      </w:r>
      <w:r w:rsidR="00375CEB" w:rsidRPr="00375CEB">
        <w:rPr>
          <w:rFonts w:ascii="Calibri" w:hAnsi="Calibri" w:cs="Calibri"/>
          <w:color w:val="000000" w:themeColor="text1"/>
          <w:sz w:val="22"/>
          <w:szCs w:val="22"/>
        </w:rPr>
        <w:t>personlig pleje</w:t>
      </w:r>
      <w:r w:rsidRPr="00375CEB">
        <w:rPr>
          <w:rFonts w:ascii="Calibri" w:hAnsi="Calibri" w:cs="Calibri"/>
          <w:color w:val="000000" w:themeColor="text1"/>
          <w:sz w:val="22"/>
          <w:szCs w:val="22"/>
        </w:rPr>
        <w:t xml:space="preserve"> i eget hjem, dvs. afgrænsede ydelser inden for ældreområdet. Der antages således implicit, at alle de kommunale ældreudgifter fordeler sig aldersmæssigt som disse ydelser. Selvom udgifterne til praktisk hjælp og </w:t>
      </w:r>
      <w:r w:rsidR="00375CEB" w:rsidRPr="00375CEB">
        <w:rPr>
          <w:rFonts w:ascii="Calibri" w:hAnsi="Calibri" w:cs="Calibri"/>
          <w:color w:val="000000" w:themeColor="text1"/>
          <w:sz w:val="22"/>
          <w:szCs w:val="22"/>
        </w:rPr>
        <w:t>personlig pleje</w:t>
      </w:r>
      <w:r w:rsidRPr="00375CEB">
        <w:rPr>
          <w:rFonts w:ascii="Calibri" w:hAnsi="Calibri" w:cs="Calibri"/>
          <w:color w:val="000000" w:themeColor="text1"/>
          <w:sz w:val="22"/>
          <w:szCs w:val="22"/>
        </w:rPr>
        <w:t xml:space="preserve"> i eget hjem udgør en betydelig del af de kommunale ældreudgifter, betyder det, at der er usikkerhed omkring de anvendte vægte, når de bruges til fordeling af de samlede ældreudgifter. Desuden er enhedsomkostninger</w:t>
      </w:r>
      <w:r w:rsidR="00092D10">
        <w:rPr>
          <w:rFonts w:ascii="Calibri" w:hAnsi="Calibri" w:cs="Calibri"/>
          <w:color w:val="000000" w:themeColor="text1"/>
          <w:sz w:val="22"/>
          <w:szCs w:val="22"/>
        </w:rPr>
        <w:t>ne for praktisk hjælp og personlig pleje</w:t>
      </w:r>
      <w:r w:rsidRPr="00375CEB">
        <w:rPr>
          <w:rFonts w:ascii="Calibri" w:hAnsi="Calibri" w:cs="Calibri"/>
          <w:color w:val="000000" w:themeColor="text1"/>
          <w:sz w:val="22"/>
          <w:szCs w:val="22"/>
        </w:rPr>
        <w:t xml:space="preserve"> baseret på tal fra 2018. Ved at anvende disse tal til at vægte ældreudgifterne i 2010 antager vi implicit, at udgifterne i 2010 relativt set</w:t>
      </w:r>
      <w:r w:rsidRPr="00765DB7">
        <w:rPr>
          <w:rFonts w:ascii="Calibri" w:hAnsi="Calibri" w:cs="Calibri"/>
          <w:color w:val="000000" w:themeColor="text1"/>
          <w:sz w:val="22"/>
          <w:szCs w:val="22"/>
        </w:rPr>
        <w:t xml:space="preserve"> fordelte sig aldersmæssigt på samme måde som i 2018.</w:t>
      </w:r>
    </w:p>
    <w:p w14:paraId="0409F4FE" w14:textId="77777777" w:rsidR="00C36398" w:rsidRPr="00765DB7" w:rsidRDefault="00C36398" w:rsidP="00C36398">
      <w:pPr>
        <w:rPr>
          <w:rFonts w:ascii="Calibri" w:hAnsi="Calibri" w:cs="Calibri"/>
          <w:color w:val="000000" w:themeColor="text1"/>
          <w:sz w:val="22"/>
          <w:szCs w:val="22"/>
        </w:rPr>
      </w:pPr>
    </w:p>
    <w:p w14:paraId="0D086D99" w14:textId="030F5E0F" w:rsidR="00C36398" w:rsidRDefault="00C36398" w:rsidP="00C36398">
      <w:pPr>
        <w:rPr>
          <w:rFonts w:ascii="Calibri" w:hAnsi="Calibri" w:cs="Calibri"/>
          <w:color w:val="000000" w:themeColor="text1"/>
          <w:sz w:val="22"/>
          <w:szCs w:val="22"/>
        </w:rPr>
      </w:pPr>
      <w:r w:rsidRPr="00765DB7">
        <w:rPr>
          <w:rFonts w:ascii="Calibri" w:hAnsi="Calibri" w:cs="Calibri"/>
          <w:color w:val="000000" w:themeColor="text1"/>
          <w:sz w:val="22"/>
          <w:szCs w:val="22"/>
        </w:rPr>
        <w:t xml:space="preserve">Vi har brugt samme fremgangsmåde til at estimere, hvad den demografiske udvikling betyder for udgiftsbehovet i 2022. Baseret på de vægte, vi har konstrueret samt det samlede kommunale budget på ældreområdet i 2021, har vi beregnet de aldersfordelte enhedsomkostninger i 2021. </w:t>
      </w:r>
      <w:r w:rsidRPr="004425E7">
        <w:rPr>
          <w:rFonts w:ascii="Calibri" w:hAnsi="Calibri" w:cs="Calibri"/>
          <w:color w:val="000000" w:themeColor="text1"/>
          <w:sz w:val="22"/>
          <w:szCs w:val="22"/>
        </w:rPr>
        <w:t xml:space="preserve">Disse ses i tabel </w:t>
      </w:r>
      <w:r w:rsidR="004425E7" w:rsidRPr="004425E7">
        <w:rPr>
          <w:rFonts w:ascii="Calibri" w:hAnsi="Calibri" w:cs="Calibri"/>
          <w:color w:val="000000" w:themeColor="text1"/>
          <w:sz w:val="22"/>
          <w:szCs w:val="22"/>
        </w:rPr>
        <w:t>5</w:t>
      </w:r>
      <w:r w:rsidRPr="004425E7">
        <w:rPr>
          <w:rFonts w:ascii="Calibri" w:hAnsi="Calibri" w:cs="Calibri"/>
          <w:color w:val="000000" w:themeColor="text1"/>
          <w:sz w:val="22"/>
          <w:szCs w:val="22"/>
        </w:rPr>
        <w:t>.</w:t>
      </w:r>
      <w:r w:rsidRPr="00765DB7">
        <w:rPr>
          <w:rFonts w:ascii="Calibri" w:hAnsi="Calibri" w:cs="Calibri"/>
          <w:color w:val="000000" w:themeColor="text1"/>
          <w:sz w:val="22"/>
          <w:szCs w:val="22"/>
        </w:rPr>
        <w:t xml:space="preserve"> </w:t>
      </w:r>
    </w:p>
    <w:p w14:paraId="17613856" w14:textId="77777777" w:rsidR="00C36398" w:rsidRPr="00765DB7" w:rsidRDefault="00C36398" w:rsidP="00C36398">
      <w:pPr>
        <w:rPr>
          <w:rFonts w:ascii="Calibri" w:hAnsi="Calibri" w:cs="Calibri"/>
          <w:color w:val="000000" w:themeColor="text1"/>
          <w:sz w:val="22"/>
          <w:szCs w:val="22"/>
        </w:rPr>
      </w:pPr>
    </w:p>
    <w:p w14:paraId="0798EA84" w14:textId="019A2950" w:rsidR="0095677E" w:rsidRPr="00AB73F4" w:rsidRDefault="00C36398" w:rsidP="00AB73F4">
      <w:pPr>
        <w:rPr>
          <w:rFonts w:ascii="Calibri" w:hAnsi="Calibri" w:cs="Calibri"/>
          <w:color w:val="000000" w:themeColor="text1"/>
          <w:sz w:val="22"/>
          <w:szCs w:val="22"/>
        </w:rPr>
      </w:pPr>
      <w:r w:rsidRPr="00765DB7">
        <w:rPr>
          <w:rFonts w:ascii="Calibri" w:hAnsi="Calibri" w:cs="Calibri"/>
          <w:color w:val="000000" w:themeColor="text1"/>
          <w:sz w:val="22"/>
          <w:szCs w:val="22"/>
        </w:rPr>
        <w:t xml:space="preserve">Vi har også estimeret den demografiske betingede stigning i udgiftsbehovet i 2022 på kommuneniveau. Her bruger vi samme relative vægtning af ældre i forskellige aldre som i </w:t>
      </w:r>
      <w:r w:rsidRPr="00765DB7">
        <w:rPr>
          <w:rFonts w:ascii="Calibri" w:hAnsi="Calibri" w:cs="Calibri"/>
          <w:color w:val="000000" w:themeColor="text1"/>
          <w:sz w:val="22"/>
          <w:szCs w:val="22"/>
        </w:rPr>
        <w:lastRenderedPageBreak/>
        <w:t>beregningerne på landsplan. Da disse er lavet som et landsgennemsnit, er de ikke nødvendigvis helt repræsentative for alle kommuner. Der er derfor tale om et bedste skøn med forbehold for de usikkerheder, der ligger i den anvendte metode.</w:t>
      </w:r>
    </w:p>
    <w:p w14:paraId="459CA4BC" w14:textId="77777777" w:rsidR="00AA1E3C" w:rsidRPr="00A710CE" w:rsidRDefault="00AA1E3C">
      <w:pPr>
        <w:autoSpaceDE/>
        <w:autoSpaceDN/>
        <w:adjustRightInd/>
        <w:spacing w:line="240" w:lineRule="auto"/>
        <w:textAlignment w:val="auto"/>
        <w:rPr>
          <w:rFonts w:ascii="Calibri" w:hAnsi="Calibri" w:cs="Calibri"/>
          <w:sz w:val="22"/>
          <w:szCs w:val="22"/>
        </w:rPr>
      </w:pPr>
    </w:p>
    <w:p w14:paraId="4629E851" w14:textId="77777777" w:rsidR="00557A09" w:rsidRPr="00A710CE" w:rsidRDefault="00557A09">
      <w:pPr>
        <w:autoSpaceDE/>
        <w:autoSpaceDN/>
        <w:adjustRightInd/>
        <w:spacing w:line="240" w:lineRule="auto"/>
        <w:textAlignment w:val="auto"/>
        <w:rPr>
          <w:rFonts w:ascii="Calibri" w:hAnsi="Calibri" w:cs="Calibri"/>
          <w:sz w:val="24"/>
        </w:rPr>
      </w:pPr>
    </w:p>
    <w:p w14:paraId="12EFE008" w14:textId="77777777" w:rsidR="00557A09" w:rsidRPr="00A710CE" w:rsidRDefault="00557A09" w:rsidP="00557A09">
      <w:pPr>
        <w:rPr>
          <w:rFonts w:ascii="Calibri" w:hAnsi="Calibri" w:cs="Calibri"/>
          <w:sz w:val="22"/>
          <w:szCs w:val="22"/>
        </w:rPr>
      </w:pPr>
    </w:p>
    <w:tbl>
      <w:tblPr>
        <w:tblW w:w="6804" w:type="dxa"/>
        <w:tblCellMar>
          <w:left w:w="70" w:type="dxa"/>
          <w:right w:w="70" w:type="dxa"/>
        </w:tblCellMar>
        <w:tblLook w:val="04A0" w:firstRow="1" w:lastRow="0" w:firstColumn="1" w:lastColumn="0" w:noHBand="0" w:noVBand="1"/>
      </w:tblPr>
      <w:tblGrid>
        <w:gridCol w:w="1696"/>
        <w:gridCol w:w="1695"/>
        <w:gridCol w:w="3413"/>
      </w:tblGrid>
      <w:tr w:rsidR="00AB73F4" w:rsidRPr="001420D6" w14:paraId="1078E65E" w14:textId="77777777" w:rsidTr="00045027">
        <w:trPr>
          <w:trHeight w:val="426"/>
        </w:trPr>
        <w:tc>
          <w:tcPr>
            <w:tcW w:w="6180" w:type="dxa"/>
            <w:gridSpan w:val="3"/>
            <w:tcBorders>
              <w:bottom w:val="single" w:sz="4" w:space="0" w:color="305698"/>
            </w:tcBorders>
            <w:shd w:val="clear" w:color="auto" w:fill="305698"/>
            <w:vAlign w:val="bottom"/>
          </w:tcPr>
          <w:p w14:paraId="437C3E90" w14:textId="40A89F44" w:rsidR="00AB73F4" w:rsidRPr="001420D6" w:rsidRDefault="00AB73F4" w:rsidP="00045027">
            <w:pPr>
              <w:spacing w:line="240" w:lineRule="auto"/>
              <w:rPr>
                <w:rFonts w:asciiTheme="majorHAnsi" w:hAnsiTheme="majorHAnsi" w:cstheme="majorHAnsi"/>
                <w:b/>
                <w:bCs/>
                <w:color w:val="FFFFFF" w:themeColor="background1"/>
              </w:rPr>
            </w:pPr>
            <w:r w:rsidRPr="001420D6">
              <w:rPr>
                <w:rFonts w:asciiTheme="majorHAnsi" w:hAnsiTheme="majorHAnsi" w:cstheme="majorHAnsi"/>
                <w:b/>
                <w:bCs/>
                <w:color w:val="FFFFFF" w:themeColor="background1"/>
              </w:rPr>
              <w:t>Tabel 4</w:t>
            </w:r>
            <w:r>
              <w:rPr>
                <w:rFonts w:asciiTheme="majorHAnsi" w:hAnsiTheme="majorHAnsi" w:cstheme="majorHAnsi"/>
                <w:b/>
                <w:bCs/>
                <w:color w:val="FFFFFF" w:themeColor="background1"/>
              </w:rPr>
              <w:t>. Estimere</w:t>
            </w:r>
            <w:r w:rsidR="009106B8">
              <w:rPr>
                <w:rFonts w:asciiTheme="majorHAnsi" w:hAnsiTheme="majorHAnsi" w:cstheme="majorHAnsi"/>
                <w:b/>
                <w:bCs/>
                <w:color w:val="FFFFFF" w:themeColor="background1"/>
              </w:rPr>
              <w:t>t</w:t>
            </w:r>
            <w:r>
              <w:rPr>
                <w:rFonts w:asciiTheme="majorHAnsi" w:hAnsiTheme="majorHAnsi" w:cstheme="majorHAnsi"/>
                <w:b/>
                <w:bCs/>
                <w:color w:val="FFFFFF" w:themeColor="background1"/>
              </w:rPr>
              <w:t xml:space="preserve"> enhedsomkostning i 2010</w:t>
            </w:r>
          </w:p>
        </w:tc>
      </w:tr>
      <w:tr w:rsidR="00AB73F4" w:rsidRPr="001420D6" w14:paraId="3A1487A5" w14:textId="77777777" w:rsidTr="00045027">
        <w:trPr>
          <w:trHeight w:val="559"/>
        </w:trPr>
        <w:tc>
          <w:tcPr>
            <w:tcW w:w="1540" w:type="dxa"/>
            <w:tcBorders>
              <w:bottom w:val="single" w:sz="4" w:space="0" w:color="305698"/>
            </w:tcBorders>
            <w:shd w:val="clear" w:color="auto" w:fill="auto"/>
            <w:vAlign w:val="bottom"/>
            <w:hideMark/>
          </w:tcPr>
          <w:p w14:paraId="092A65A4"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Alder</w:t>
            </w:r>
          </w:p>
        </w:tc>
        <w:tc>
          <w:tcPr>
            <w:tcW w:w="1540" w:type="dxa"/>
            <w:tcBorders>
              <w:bottom w:val="single" w:sz="4" w:space="0" w:color="305698"/>
            </w:tcBorders>
            <w:shd w:val="clear" w:color="auto" w:fill="auto"/>
            <w:vAlign w:val="bottom"/>
            <w:hideMark/>
          </w:tcPr>
          <w:p w14:paraId="3A89EE9D"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Vægt</w:t>
            </w:r>
          </w:p>
        </w:tc>
        <w:tc>
          <w:tcPr>
            <w:tcW w:w="3100" w:type="dxa"/>
            <w:tcBorders>
              <w:bottom w:val="single" w:sz="4" w:space="0" w:color="305698"/>
            </w:tcBorders>
            <w:shd w:val="clear" w:color="auto" w:fill="auto"/>
            <w:vAlign w:val="bottom"/>
            <w:hideMark/>
          </w:tcPr>
          <w:p w14:paraId="5893D30D"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Estimeret enhedsomkostning i 2010 (i 2021-priser), kr.</w:t>
            </w:r>
          </w:p>
        </w:tc>
      </w:tr>
      <w:tr w:rsidR="00AB73F4" w:rsidRPr="001420D6" w14:paraId="6FE70E26" w14:textId="77777777" w:rsidTr="00045027">
        <w:trPr>
          <w:trHeight w:val="285"/>
        </w:trPr>
        <w:tc>
          <w:tcPr>
            <w:tcW w:w="1540" w:type="dxa"/>
            <w:tcBorders>
              <w:top w:val="single" w:sz="4" w:space="0" w:color="305698"/>
            </w:tcBorders>
            <w:shd w:val="clear" w:color="auto" w:fill="auto"/>
            <w:noWrap/>
            <w:vAlign w:val="bottom"/>
            <w:hideMark/>
          </w:tcPr>
          <w:p w14:paraId="40A48A53"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67</w:t>
            </w:r>
          </w:p>
        </w:tc>
        <w:tc>
          <w:tcPr>
            <w:tcW w:w="1540" w:type="dxa"/>
            <w:tcBorders>
              <w:top w:val="single" w:sz="4" w:space="0" w:color="305698"/>
            </w:tcBorders>
            <w:shd w:val="clear" w:color="auto" w:fill="auto"/>
            <w:noWrap/>
            <w:vAlign w:val="bottom"/>
            <w:hideMark/>
          </w:tcPr>
          <w:p w14:paraId="035B73A3"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1,0</w:t>
            </w:r>
          </w:p>
        </w:tc>
        <w:tc>
          <w:tcPr>
            <w:tcW w:w="3100" w:type="dxa"/>
            <w:tcBorders>
              <w:top w:val="single" w:sz="4" w:space="0" w:color="305698"/>
            </w:tcBorders>
            <w:shd w:val="clear" w:color="auto" w:fill="auto"/>
            <w:noWrap/>
            <w:vAlign w:val="bottom"/>
            <w:hideMark/>
          </w:tcPr>
          <w:p w14:paraId="666FF3C1"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15.226 </w:t>
            </w:r>
          </w:p>
        </w:tc>
      </w:tr>
      <w:tr w:rsidR="00AB73F4" w:rsidRPr="001420D6" w14:paraId="31465796" w14:textId="77777777" w:rsidTr="00045027">
        <w:trPr>
          <w:trHeight w:val="285"/>
        </w:trPr>
        <w:tc>
          <w:tcPr>
            <w:tcW w:w="1540" w:type="dxa"/>
            <w:shd w:val="clear" w:color="auto" w:fill="auto"/>
            <w:noWrap/>
            <w:vAlign w:val="bottom"/>
            <w:hideMark/>
          </w:tcPr>
          <w:p w14:paraId="0E16BC3F"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68</w:t>
            </w:r>
          </w:p>
        </w:tc>
        <w:tc>
          <w:tcPr>
            <w:tcW w:w="1540" w:type="dxa"/>
            <w:shd w:val="clear" w:color="auto" w:fill="auto"/>
            <w:noWrap/>
            <w:vAlign w:val="bottom"/>
            <w:hideMark/>
          </w:tcPr>
          <w:p w14:paraId="19407ADB"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1,0</w:t>
            </w:r>
          </w:p>
        </w:tc>
        <w:tc>
          <w:tcPr>
            <w:tcW w:w="3100" w:type="dxa"/>
            <w:shd w:val="clear" w:color="auto" w:fill="auto"/>
            <w:noWrap/>
            <w:vAlign w:val="bottom"/>
            <w:hideMark/>
          </w:tcPr>
          <w:p w14:paraId="59B5DF5A"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15.740 </w:t>
            </w:r>
          </w:p>
        </w:tc>
      </w:tr>
      <w:tr w:rsidR="00AB73F4" w:rsidRPr="001420D6" w14:paraId="4A1686D2" w14:textId="77777777" w:rsidTr="00045027">
        <w:trPr>
          <w:trHeight w:val="285"/>
        </w:trPr>
        <w:tc>
          <w:tcPr>
            <w:tcW w:w="1540" w:type="dxa"/>
            <w:shd w:val="clear" w:color="auto" w:fill="auto"/>
            <w:noWrap/>
            <w:vAlign w:val="bottom"/>
            <w:hideMark/>
          </w:tcPr>
          <w:p w14:paraId="729AF1CD"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69</w:t>
            </w:r>
          </w:p>
        </w:tc>
        <w:tc>
          <w:tcPr>
            <w:tcW w:w="1540" w:type="dxa"/>
            <w:shd w:val="clear" w:color="auto" w:fill="auto"/>
            <w:noWrap/>
            <w:vAlign w:val="bottom"/>
            <w:hideMark/>
          </w:tcPr>
          <w:p w14:paraId="3D3B3D49"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1,1</w:t>
            </w:r>
          </w:p>
        </w:tc>
        <w:tc>
          <w:tcPr>
            <w:tcW w:w="3100" w:type="dxa"/>
            <w:shd w:val="clear" w:color="auto" w:fill="auto"/>
            <w:noWrap/>
            <w:vAlign w:val="bottom"/>
            <w:hideMark/>
          </w:tcPr>
          <w:p w14:paraId="24AADE15"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16.596 </w:t>
            </w:r>
          </w:p>
        </w:tc>
      </w:tr>
      <w:tr w:rsidR="00AB73F4" w:rsidRPr="001420D6" w14:paraId="4D6C97BF" w14:textId="77777777" w:rsidTr="00045027">
        <w:trPr>
          <w:trHeight w:val="285"/>
        </w:trPr>
        <w:tc>
          <w:tcPr>
            <w:tcW w:w="1540" w:type="dxa"/>
            <w:shd w:val="clear" w:color="auto" w:fill="auto"/>
            <w:noWrap/>
            <w:vAlign w:val="bottom"/>
            <w:hideMark/>
          </w:tcPr>
          <w:p w14:paraId="5D3F1329"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70</w:t>
            </w:r>
          </w:p>
        </w:tc>
        <w:tc>
          <w:tcPr>
            <w:tcW w:w="1540" w:type="dxa"/>
            <w:shd w:val="clear" w:color="auto" w:fill="auto"/>
            <w:noWrap/>
            <w:vAlign w:val="bottom"/>
            <w:hideMark/>
          </w:tcPr>
          <w:p w14:paraId="57CEE2CF"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1,3</w:t>
            </w:r>
          </w:p>
        </w:tc>
        <w:tc>
          <w:tcPr>
            <w:tcW w:w="3100" w:type="dxa"/>
            <w:shd w:val="clear" w:color="auto" w:fill="auto"/>
            <w:noWrap/>
            <w:vAlign w:val="bottom"/>
            <w:hideMark/>
          </w:tcPr>
          <w:p w14:paraId="36E01403"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20.379 </w:t>
            </w:r>
          </w:p>
        </w:tc>
      </w:tr>
      <w:tr w:rsidR="00AB73F4" w:rsidRPr="001420D6" w14:paraId="4432F195" w14:textId="77777777" w:rsidTr="00045027">
        <w:trPr>
          <w:trHeight w:val="285"/>
        </w:trPr>
        <w:tc>
          <w:tcPr>
            <w:tcW w:w="1540" w:type="dxa"/>
            <w:shd w:val="clear" w:color="auto" w:fill="auto"/>
            <w:noWrap/>
            <w:vAlign w:val="bottom"/>
            <w:hideMark/>
          </w:tcPr>
          <w:p w14:paraId="5A06605D"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71</w:t>
            </w:r>
          </w:p>
        </w:tc>
        <w:tc>
          <w:tcPr>
            <w:tcW w:w="1540" w:type="dxa"/>
            <w:shd w:val="clear" w:color="auto" w:fill="auto"/>
            <w:noWrap/>
            <w:vAlign w:val="bottom"/>
            <w:hideMark/>
          </w:tcPr>
          <w:p w14:paraId="41ABB1CB"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1,4</w:t>
            </w:r>
          </w:p>
        </w:tc>
        <w:tc>
          <w:tcPr>
            <w:tcW w:w="3100" w:type="dxa"/>
            <w:shd w:val="clear" w:color="auto" w:fill="auto"/>
            <w:noWrap/>
            <w:vAlign w:val="bottom"/>
            <w:hideMark/>
          </w:tcPr>
          <w:p w14:paraId="72D082B3"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20.631 </w:t>
            </w:r>
          </w:p>
        </w:tc>
      </w:tr>
      <w:tr w:rsidR="00AB73F4" w:rsidRPr="001420D6" w14:paraId="1DFCC9DB" w14:textId="77777777" w:rsidTr="00045027">
        <w:trPr>
          <w:trHeight w:val="285"/>
        </w:trPr>
        <w:tc>
          <w:tcPr>
            <w:tcW w:w="1540" w:type="dxa"/>
            <w:shd w:val="clear" w:color="auto" w:fill="auto"/>
            <w:noWrap/>
            <w:vAlign w:val="bottom"/>
            <w:hideMark/>
          </w:tcPr>
          <w:p w14:paraId="716AB1F9"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72</w:t>
            </w:r>
          </w:p>
        </w:tc>
        <w:tc>
          <w:tcPr>
            <w:tcW w:w="1540" w:type="dxa"/>
            <w:shd w:val="clear" w:color="auto" w:fill="auto"/>
            <w:noWrap/>
            <w:vAlign w:val="bottom"/>
            <w:hideMark/>
          </w:tcPr>
          <w:p w14:paraId="253A9D49"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1,5</w:t>
            </w:r>
          </w:p>
        </w:tc>
        <w:tc>
          <w:tcPr>
            <w:tcW w:w="3100" w:type="dxa"/>
            <w:shd w:val="clear" w:color="auto" w:fill="auto"/>
            <w:noWrap/>
            <w:vAlign w:val="bottom"/>
            <w:hideMark/>
          </w:tcPr>
          <w:p w14:paraId="54B0CEDD"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22.328 </w:t>
            </w:r>
          </w:p>
        </w:tc>
      </w:tr>
      <w:tr w:rsidR="00AB73F4" w:rsidRPr="001420D6" w14:paraId="2CD782CB" w14:textId="77777777" w:rsidTr="00045027">
        <w:trPr>
          <w:trHeight w:val="285"/>
        </w:trPr>
        <w:tc>
          <w:tcPr>
            <w:tcW w:w="1540" w:type="dxa"/>
            <w:shd w:val="clear" w:color="auto" w:fill="auto"/>
            <w:noWrap/>
            <w:vAlign w:val="bottom"/>
            <w:hideMark/>
          </w:tcPr>
          <w:p w14:paraId="05D89AAC"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73</w:t>
            </w:r>
          </w:p>
        </w:tc>
        <w:tc>
          <w:tcPr>
            <w:tcW w:w="1540" w:type="dxa"/>
            <w:shd w:val="clear" w:color="auto" w:fill="auto"/>
            <w:noWrap/>
            <w:vAlign w:val="bottom"/>
            <w:hideMark/>
          </w:tcPr>
          <w:p w14:paraId="61B2703B"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1,7</w:t>
            </w:r>
          </w:p>
        </w:tc>
        <w:tc>
          <w:tcPr>
            <w:tcW w:w="3100" w:type="dxa"/>
            <w:shd w:val="clear" w:color="auto" w:fill="auto"/>
            <w:noWrap/>
            <w:vAlign w:val="bottom"/>
            <w:hideMark/>
          </w:tcPr>
          <w:p w14:paraId="158866AC"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25.401 </w:t>
            </w:r>
          </w:p>
        </w:tc>
      </w:tr>
      <w:tr w:rsidR="00AB73F4" w:rsidRPr="001420D6" w14:paraId="34643C13" w14:textId="77777777" w:rsidTr="00045027">
        <w:trPr>
          <w:trHeight w:val="285"/>
        </w:trPr>
        <w:tc>
          <w:tcPr>
            <w:tcW w:w="1540" w:type="dxa"/>
            <w:shd w:val="clear" w:color="auto" w:fill="auto"/>
            <w:noWrap/>
            <w:vAlign w:val="bottom"/>
            <w:hideMark/>
          </w:tcPr>
          <w:p w14:paraId="62C162F6"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74</w:t>
            </w:r>
          </w:p>
        </w:tc>
        <w:tc>
          <w:tcPr>
            <w:tcW w:w="1540" w:type="dxa"/>
            <w:shd w:val="clear" w:color="auto" w:fill="auto"/>
            <w:noWrap/>
            <w:vAlign w:val="bottom"/>
            <w:hideMark/>
          </w:tcPr>
          <w:p w14:paraId="2FFE6091"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1,9</w:t>
            </w:r>
          </w:p>
        </w:tc>
        <w:tc>
          <w:tcPr>
            <w:tcW w:w="3100" w:type="dxa"/>
            <w:shd w:val="clear" w:color="auto" w:fill="auto"/>
            <w:noWrap/>
            <w:vAlign w:val="bottom"/>
            <w:hideMark/>
          </w:tcPr>
          <w:p w14:paraId="4CCB756A"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29.616 </w:t>
            </w:r>
          </w:p>
        </w:tc>
      </w:tr>
      <w:tr w:rsidR="00AB73F4" w:rsidRPr="001420D6" w14:paraId="79CAE615" w14:textId="77777777" w:rsidTr="00045027">
        <w:trPr>
          <w:trHeight w:val="285"/>
        </w:trPr>
        <w:tc>
          <w:tcPr>
            <w:tcW w:w="1540" w:type="dxa"/>
            <w:shd w:val="clear" w:color="auto" w:fill="auto"/>
            <w:noWrap/>
            <w:vAlign w:val="bottom"/>
            <w:hideMark/>
          </w:tcPr>
          <w:p w14:paraId="04617335"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75</w:t>
            </w:r>
          </w:p>
        </w:tc>
        <w:tc>
          <w:tcPr>
            <w:tcW w:w="1540" w:type="dxa"/>
            <w:shd w:val="clear" w:color="auto" w:fill="auto"/>
            <w:noWrap/>
            <w:vAlign w:val="bottom"/>
            <w:hideMark/>
          </w:tcPr>
          <w:p w14:paraId="298D649D"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2,1</w:t>
            </w:r>
          </w:p>
        </w:tc>
        <w:tc>
          <w:tcPr>
            <w:tcW w:w="3100" w:type="dxa"/>
            <w:shd w:val="clear" w:color="auto" w:fill="auto"/>
            <w:noWrap/>
            <w:vAlign w:val="bottom"/>
            <w:hideMark/>
          </w:tcPr>
          <w:p w14:paraId="3059A2E5"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31.757 </w:t>
            </w:r>
          </w:p>
        </w:tc>
      </w:tr>
      <w:tr w:rsidR="00AB73F4" w:rsidRPr="001420D6" w14:paraId="5FE77898" w14:textId="77777777" w:rsidTr="00045027">
        <w:trPr>
          <w:trHeight w:val="285"/>
        </w:trPr>
        <w:tc>
          <w:tcPr>
            <w:tcW w:w="1540" w:type="dxa"/>
            <w:shd w:val="clear" w:color="auto" w:fill="auto"/>
            <w:noWrap/>
            <w:vAlign w:val="bottom"/>
            <w:hideMark/>
          </w:tcPr>
          <w:p w14:paraId="77E9AAFD"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76</w:t>
            </w:r>
          </w:p>
        </w:tc>
        <w:tc>
          <w:tcPr>
            <w:tcW w:w="1540" w:type="dxa"/>
            <w:shd w:val="clear" w:color="auto" w:fill="auto"/>
            <w:noWrap/>
            <w:vAlign w:val="bottom"/>
            <w:hideMark/>
          </w:tcPr>
          <w:p w14:paraId="5A519363"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2,4</w:t>
            </w:r>
          </w:p>
        </w:tc>
        <w:tc>
          <w:tcPr>
            <w:tcW w:w="3100" w:type="dxa"/>
            <w:shd w:val="clear" w:color="auto" w:fill="auto"/>
            <w:noWrap/>
            <w:vAlign w:val="bottom"/>
            <w:hideMark/>
          </w:tcPr>
          <w:p w14:paraId="069010F7"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36.774 </w:t>
            </w:r>
          </w:p>
        </w:tc>
      </w:tr>
      <w:tr w:rsidR="00AB73F4" w:rsidRPr="001420D6" w14:paraId="005BF718" w14:textId="77777777" w:rsidTr="00045027">
        <w:trPr>
          <w:trHeight w:val="285"/>
        </w:trPr>
        <w:tc>
          <w:tcPr>
            <w:tcW w:w="1540" w:type="dxa"/>
            <w:shd w:val="clear" w:color="auto" w:fill="auto"/>
            <w:noWrap/>
            <w:vAlign w:val="bottom"/>
            <w:hideMark/>
          </w:tcPr>
          <w:p w14:paraId="4E0A4725"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77</w:t>
            </w:r>
          </w:p>
        </w:tc>
        <w:tc>
          <w:tcPr>
            <w:tcW w:w="1540" w:type="dxa"/>
            <w:shd w:val="clear" w:color="auto" w:fill="auto"/>
            <w:noWrap/>
            <w:vAlign w:val="bottom"/>
            <w:hideMark/>
          </w:tcPr>
          <w:p w14:paraId="7B582DCE"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2,8</w:t>
            </w:r>
          </w:p>
        </w:tc>
        <w:tc>
          <w:tcPr>
            <w:tcW w:w="3100" w:type="dxa"/>
            <w:shd w:val="clear" w:color="auto" w:fill="auto"/>
            <w:noWrap/>
            <w:vAlign w:val="bottom"/>
            <w:hideMark/>
          </w:tcPr>
          <w:p w14:paraId="00E2301A"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42.888 </w:t>
            </w:r>
          </w:p>
        </w:tc>
      </w:tr>
      <w:tr w:rsidR="00AB73F4" w:rsidRPr="001420D6" w14:paraId="193B027E" w14:textId="77777777" w:rsidTr="00045027">
        <w:trPr>
          <w:trHeight w:val="285"/>
        </w:trPr>
        <w:tc>
          <w:tcPr>
            <w:tcW w:w="1540" w:type="dxa"/>
            <w:shd w:val="clear" w:color="auto" w:fill="auto"/>
            <w:noWrap/>
            <w:vAlign w:val="bottom"/>
            <w:hideMark/>
          </w:tcPr>
          <w:p w14:paraId="6322F62F"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78</w:t>
            </w:r>
          </w:p>
        </w:tc>
        <w:tc>
          <w:tcPr>
            <w:tcW w:w="1540" w:type="dxa"/>
            <w:shd w:val="clear" w:color="auto" w:fill="auto"/>
            <w:noWrap/>
            <w:vAlign w:val="bottom"/>
            <w:hideMark/>
          </w:tcPr>
          <w:p w14:paraId="4F4B63B1"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3,1</w:t>
            </w:r>
          </w:p>
        </w:tc>
        <w:tc>
          <w:tcPr>
            <w:tcW w:w="3100" w:type="dxa"/>
            <w:shd w:val="clear" w:color="auto" w:fill="auto"/>
            <w:noWrap/>
            <w:vAlign w:val="bottom"/>
            <w:hideMark/>
          </w:tcPr>
          <w:p w14:paraId="1A3C5FFC"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46.515 </w:t>
            </w:r>
          </w:p>
        </w:tc>
      </w:tr>
      <w:tr w:rsidR="00AB73F4" w:rsidRPr="001420D6" w14:paraId="34D1E84B" w14:textId="77777777" w:rsidTr="00045027">
        <w:trPr>
          <w:trHeight w:val="285"/>
        </w:trPr>
        <w:tc>
          <w:tcPr>
            <w:tcW w:w="1540" w:type="dxa"/>
            <w:shd w:val="clear" w:color="auto" w:fill="auto"/>
            <w:noWrap/>
            <w:vAlign w:val="bottom"/>
            <w:hideMark/>
          </w:tcPr>
          <w:p w14:paraId="07DB5B3E"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79</w:t>
            </w:r>
          </w:p>
        </w:tc>
        <w:tc>
          <w:tcPr>
            <w:tcW w:w="1540" w:type="dxa"/>
            <w:shd w:val="clear" w:color="auto" w:fill="auto"/>
            <w:noWrap/>
            <w:vAlign w:val="bottom"/>
            <w:hideMark/>
          </w:tcPr>
          <w:p w14:paraId="0548073C"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3,6</w:t>
            </w:r>
          </w:p>
        </w:tc>
        <w:tc>
          <w:tcPr>
            <w:tcW w:w="3100" w:type="dxa"/>
            <w:shd w:val="clear" w:color="auto" w:fill="auto"/>
            <w:noWrap/>
            <w:vAlign w:val="bottom"/>
            <w:hideMark/>
          </w:tcPr>
          <w:p w14:paraId="374A34A1"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54.246 </w:t>
            </w:r>
          </w:p>
        </w:tc>
      </w:tr>
      <w:tr w:rsidR="00AB73F4" w:rsidRPr="001420D6" w14:paraId="76344117" w14:textId="77777777" w:rsidTr="00045027">
        <w:trPr>
          <w:trHeight w:val="285"/>
        </w:trPr>
        <w:tc>
          <w:tcPr>
            <w:tcW w:w="1540" w:type="dxa"/>
            <w:shd w:val="clear" w:color="auto" w:fill="auto"/>
            <w:noWrap/>
            <w:vAlign w:val="bottom"/>
            <w:hideMark/>
          </w:tcPr>
          <w:p w14:paraId="73C95CFC"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80</w:t>
            </w:r>
          </w:p>
        </w:tc>
        <w:tc>
          <w:tcPr>
            <w:tcW w:w="1540" w:type="dxa"/>
            <w:shd w:val="clear" w:color="auto" w:fill="auto"/>
            <w:noWrap/>
            <w:vAlign w:val="bottom"/>
            <w:hideMark/>
          </w:tcPr>
          <w:p w14:paraId="0F01244A"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4,3</w:t>
            </w:r>
          </w:p>
        </w:tc>
        <w:tc>
          <w:tcPr>
            <w:tcW w:w="3100" w:type="dxa"/>
            <w:shd w:val="clear" w:color="auto" w:fill="auto"/>
            <w:noWrap/>
            <w:vAlign w:val="bottom"/>
            <w:hideMark/>
          </w:tcPr>
          <w:p w14:paraId="39D9DE5C"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64.738 </w:t>
            </w:r>
          </w:p>
        </w:tc>
      </w:tr>
      <w:tr w:rsidR="00AB73F4" w:rsidRPr="001420D6" w14:paraId="5828CA11" w14:textId="77777777" w:rsidTr="00045027">
        <w:trPr>
          <w:trHeight w:val="285"/>
        </w:trPr>
        <w:tc>
          <w:tcPr>
            <w:tcW w:w="1540" w:type="dxa"/>
            <w:shd w:val="clear" w:color="auto" w:fill="auto"/>
            <w:noWrap/>
            <w:vAlign w:val="bottom"/>
            <w:hideMark/>
          </w:tcPr>
          <w:p w14:paraId="4DB20F1C"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81</w:t>
            </w:r>
          </w:p>
        </w:tc>
        <w:tc>
          <w:tcPr>
            <w:tcW w:w="1540" w:type="dxa"/>
            <w:shd w:val="clear" w:color="auto" w:fill="auto"/>
            <w:noWrap/>
            <w:vAlign w:val="bottom"/>
            <w:hideMark/>
          </w:tcPr>
          <w:p w14:paraId="42FA7379"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4,5</w:t>
            </w:r>
          </w:p>
        </w:tc>
        <w:tc>
          <w:tcPr>
            <w:tcW w:w="3100" w:type="dxa"/>
            <w:shd w:val="clear" w:color="auto" w:fill="auto"/>
            <w:noWrap/>
            <w:vAlign w:val="bottom"/>
            <w:hideMark/>
          </w:tcPr>
          <w:p w14:paraId="1D2CBBAE"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68.994 </w:t>
            </w:r>
          </w:p>
        </w:tc>
      </w:tr>
      <w:tr w:rsidR="00AB73F4" w:rsidRPr="001420D6" w14:paraId="138F47C1" w14:textId="77777777" w:rsidTr="00045027">
        <w:trPr>
          <w:trHeight w:val="285"/>
        </w:trPr>
        <w:tc>
          <w:tcPr>
            <w:tcW w:w="1540" w:type="dxa"/>
            <w:shd w:val="clear" w:color="auto" w:fill="auto"/>
            <w:noWrap/>
            <w:vAlign w:val="bottom"/>
            <w:hideMark/>
          </w:tcPr>
          <w:p w14:paraId="2FDCCF6F"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82</w:t>
            </w:r>
          </w:p>
        </w:tc>
        <w:tc>
          <w:tcPr>
            <w:tcW w:w="1540" w:type="dxa"/>
            <w:shd w:val="clear" w:color="auto" w:fill="auto"/>
            <w:noWrap/>
            <w:vAlign w:val="bottom"/>
            <w:hideMark/>
          </w:tcPr>
          <w:p w14:paraId="450EA652"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5,3</w:t>
            </w:r>
          </w:p>
        </w:tc>
        <w:tc>
          <w:tcPr>
            <w:tcW w:w="3100" w:type="dxa"/>
            <w:shd w:val="clear" w:color="auto" w:fill="auto"/>
            <w:noWrap/>
            <w:vAlign w:val="bottom"/>
            <w:hideMark/>
          </w:tcPr>
          <w:p w14:paraId="5E0F7F30"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81.017 </w:t>
            </w:r>
          </w:p>
        </w:tc>
      </w:tr>
      <w:tr w:rsidR="00AB73F4" w:rsidRPr="001420D6" w14:paraId="15D890FF" w14:textId="77777777" w:rsidTr="00045027">
        <w:trPr>
          <w:trHeight w:val="285"/>
        </w:trPr>
        <w:tc>
          <w:tcPr>
            <w:tcW w:w="1540" w:type="dxa"/>
            <w:shd w:val="clear" w:color="auto" w:fill="auto"/>
            <w:noWrap/>
            <w:vAlign w:val="bottom"/>
            <w:hideMark/>
          </w:tcPr>
          <w:p w14:paraId="7AC07F7E"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83</w:t>
            </w:r>
          </w:p>
        </w:tc>
        <w:tc>
          <w:tcPr>
            <w:tcW w:w="1540" w:type="dxa"/>
            <w:shd w:val="clear" w:color="auto" w:fill="auto"/>
            <w:noWrap/>
            <w:vAlign w:val="bottom"/>
            <w:hideMark/>
          </w:tcPr>
          <w:p w14:paraId="45E7F072"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6,4</w:t>
            </w:r>
          </w:p>
        </w:tc>
        <w:tc>
          <w:tcPr>
            <w:tcW w:w="3100" w:type="dxa"/>
            <w:shd w:val="clear" w:color="auto" w:fill="auto"/>
            <w:noWrap/>
            <w:vAlign w:val="bottom"/>
            <w:hideMark/>
          </w:tcPr>
          <w:p w14:paraId="6E002000"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97.049 </w:t>
            </w:r>
          </w:p>
        </w:tc>
      </w:tr>
      <w:tr w:rsidR="00AB73F4" w:rsidRPr="001420D6" w14:paraId="5D993D3E" w14:textId="77777777" w:rsidTr="00045027">
        <w:trPr>
          <w:trHeight w:val="285"/>
        </w:trPr>
        <w:tc>
          <w:tcPr>
            <w:tcW w:w="1540" w:type="dxa"/>
            <w:shd w:val="clear" w:color="auto" w:fill="auto"/>
            <w:noWrap/>
            <w:vAlign w:val="bottom"/>
            <w:hideMark/>
          </w:tcPr>
          <w:p w14:paraId="303F36D1"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84</w:t>
            </w:r>
          </w:p>
        </w:tc>
        <w:tc>
          <w:tcPr>
            <w:tcW w:w="1540" w:type="dxa"/>
            <w:shd w:val="clear" w:color="auto" w:fill="auto"/>
            <w:noWrap/>
            <w:vAlign w:val="bottom"/>
            <w:hideMark/>
          </w:tcPr>
          <w:p w14:paraId="0426C1E7"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7,3</w:t>
            </w:r>
          </w:p>
        </w:tc>
        <w:tc>
          <w:tcPr>
            <w:tcW w:w="3100" w:type="dxa"/>
            <w:shd w:val="clear" w:color="auto" w:fill="auto"/>
            <w:noWrap/>
            <w:vAlign w:val="bottom"/>
            <w:hideMark/>
          </w:tcPr>
          <w:p w14:paraId="5DE96374"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111.399 </w:t>
            </w:r>
          </w:p>
        </w:tc>
      </w:tr>
      <w:tr w:rsidR="00AB73F4" w:rsidRPr="001420D6" w14:paraId="1EDD2C2C" w14:textId="77777777" w:rsidTr="00045027">
        <w:trPr>
          <w:trHeight w:val="285"/>
        </w:trPr>
        <w:tc>
          <w:tcPr>
            <w:tcW w:w="1540" w:type="dxa"/>
            <w:shd w:val="clear" w:color="auto" w:fill="auto"/>
            <w:noWrap/>
            <w:vAlign w:val="bottom"/>
            <w:hideMark/>
          </w:tcPr>
          <w:p w14:paraId="5ACF6723"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85</w:t>
            </w:r>
          </w:p>
        </w:tc>
        <w:tc>
          <w:tcPr>
            <w:tcW w:w="1540" w:type="dxa"/>
            <w:shd w:val="clear" w:color="auto" w:fill="auto"/>
            <w:noWrap/>
            <w:vAlign w:val="bottom"/>
            <w:hideMark/>
          </w:tcPr>
          <w:p w14:paraId="61B48DF8"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8,1</w:t>
            </w:r>
          </w:p>
        </w:tc>
        <w:tc>
          <w:tcPr>
            <w:tcW w:w="3100" w:type="dxa"/>
            <w:shd w:val="clear" w:color="auto" w:fill="auto"/>
            <w:noWrap/>
            <w:vAlign w:val="bottom"/>
            <w:hideMark/>
          </w:tcPr>
          <w:p w14:paraId="66B73E48"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123.734 </w:t>
            </w:r>
          </w:p>
        </w:tc>
      </w:tr>
      <w:tr w:rsidR="00AB73F4" w:rsidRPr="001420D6" w14:paraId="36619695" w14:textId="77777777" w:rsidTr="00045027">
        <w:trPr>
          <w:trHeight w:val="285"/>
        </w:trPr>
        <w:tc>
          <w:tcPr>
            <w:tcW w:w="1540" w:type="dxa"/>
            <w:shd w:val="clear" w:color="auto" w:fill="auto"/>
            <w:noWrap/>
            <w:vAlign w:val="bottom"/>
            <w:hideMark/>
          </w:tcPr>
          <w:p w14:paraId="25F4498F"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86</w:t>
            </w:r>
          </w:p>
        </w:tc>
        <w:tc>
          <w:tcPr>
            <w:tcW w:w="1540" w:type="dxa"/>
            <w:shd w:val="clear" w:color="auto" w:fill="auto"/>
            <w:noWrap/>
            <w:vAlign w:val="bottom"/>
            <w:hideMark/>
          </w:tcPr>
          <w:p w14:paraId="27B6C7EB"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8,4</w:t>
            </w:r>
          </w:p>
        </w:tc>
        <w:tc>
          <w:tcPr>
            <w:tcW w:w="3100" w:type="dxa"/>
            <w:shd w:val="clear" w:color="auto" w:fill="auto"/>
            <w:noWrap/>
            <w:vAlign w:val="bottom"/>
            <w:hideMark/>
          </w:tcPr>
          <w:p w14:paraId="2A205B76"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127.587 </w:t>
            </w:r>
          </w:p>
        </w:tc>
      </w:tr>
      <w:tr w:rsidR="00AB73F4" w:rsidRPr="001420D6" w14:paraId="2FBE5DEF" w14:textId="77777777" w:rsidTr="00045027">
        <w:trPr>
          <w:trHeight w:val="285"/>
        </w:trPr>
        <w:tc>
          <w:tcPr>
            <w:tcW w:w="1540" w:type="dxa"/>
            <w:shd w:val="clear" w:color="auto" w:fill="auto"/>
            <w:noWrap/>
            <w:vAlign w:val="bottom"/>
            <w:hideMark/>
          </w:tcPr>
          <w:p w14:paraId="58DAAE5D"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87</w:t>
            </w:r>
          </w:p>
        </w:tc>
        <w:tc>
          <w:tcPr>
            <w:tcW w:w="1540" w:type="dxa"/>
            <w:shd w:val="clear" w:color="auto" w:fill="auto"/>
            <w:noWrap/>
            <w:vAlign w:val="bottom"/>
            <w:hideMark/>
          </w:tcPr>
          <w:p w14:paraId="586016A0"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9,8</w:t>
            </w:r>
          </w:p>
        </w:tc>
        <w:tc>
          <w:tcPr>
            <w:tcW w:w="3100" w:type="dxa"/>
            <w:shd w:val="clear" w:color="auto" w:fill="auto"/>
            <w:noWrap/>
            <w:vAlign w:val="bottom"/>
            <w:hideMark/>
          </w:tcPr>
          <w:p w14:paraId="7950E717"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149.149 </w:t>
            </w:r>
          </w:p>
        </w:tc>
      </w:tr>
      <w:tr w:rsidR="00AB73F4" w:rsidRPr="001420D6" w14:paraId="34E76E4A" w14:textId="77777777" w:rsidTr="00045027">
        <w:trPr>
          <w:trHeight w:val="285"/>
        </w:trPr>
        <w:tc>
          <w:tcPr>
            <w:tcW w:w="1540" w:type="dxa"/>
            <w:shd w:val="clear" w:color="auto" w:fill="auto"/>
            <w:noWrap/>
            <w:vAlign w:val="bottom"/>
            <w:hideMark/>
          </w:tcPr>
          <w:p w14:paraId="352667FA"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88</w:t>
            </w:r>
          </w:p>
        </w:tc>
        <w:tc>
          <w:tcPr>
            <w:tcW w:w="1540" w:type="dxa"/>
            <w:shd w:val="clear" w:color="auto" w:fill="auto"/>
            <w:noWrap/>
            <w:vAlign w:val="bottom"/>
            <w:hideMark/>
          </w:tcPr>
          <w:p w14:paraId="1D6FA69B"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10,7</w:t>
            </w:r>
          </w:p>
        </w:tc>
        <w:tc>
          <w:tcPr>
            <w:tcW w:w="3100" w:type="dxa"/>
            <w:shd w:val="clear" w:color="auto" w:fill="auto"/>
            <w:noWrap/>
            <w:vAlign w:val="bottom"/>
            <w:hideMark/>
          </w:tcPr>
          <w:p w14:paraId="5F575868"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162.205 </w:t>
            </w:r>
          </w:p>
        </w:tc>
      </w:tr>
      <w:tr w:rsidR="00AB73F4" w:rsidRPr="001420D6" w14:paraId="653BC06C" w14:textId="77777777" w:rsidTr="00045027">
        <w:trPr>
          <w:trHeight w:val="285"/>
        </w:trPr>
        <w:tc>
          <w:tcPr>
            <w:tcW w:w="1540" w:type="dxa"/>
            <w:shd w:val="clear" w:color="auto" w:fill="auto"/>
            <w:noWrap/>
            <w:vAlign w:val="bottom"/>
            <w:hideMark/>
          </w:tcPr>
          <w:p w14:paraId="2D7EE4ED"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89</w:t>
            </w:r>
          </w:p>
        </w:tc>
        <w:tc>
          <w:tcPr>
            <w:tcW w:w="1540" w:type="dxa"/>
            <w:shd w:val="clear" w:color="auto" w:fill="auto"/>
            <w:noWrap/>
            <w:vAlign w:val="bottom"/>
            <w:hideMark/>
          </w:tcPr>
          <w:p w14:paraId="78211BFB"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11,7</w:t>
            </w:r>
          </w:p>
        </w:tc>
        <w:tc>
          <w:tcPr>
            <w:tcW w:w="3100" w:type="dxa"/>
            <w:shd w:val="clear" w:color="auto" w:fill="auto"/>
            <w:noWrap/>
            <w:vAlign w:val="bottom"/>
            <w:hideMark/>
          </w:tcPr>
          <w:p w14:paraId="293B5BC1"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178.197 </w:t>
            </w:r>
          </w:p>
        </w:tc>
      </w:tr>
      <w:tr w:rsidR="00AB73F4" w:rsidRPr="001420D6" w14:paraId="3934D2CC" w14:textId="77777777" w:rsidTr="00045027">
        <w:trPr>
          <w:trHeight w:val="285"/>
        </w:trPr>
        <w:tc>
          <w:tcPr>
            <w:tcW w:w="1540" w:type="dxa"/>
            <w:shd w:val="clear" w:color="auto" w:fill="auto"/>
            <w:noWrap/>
            <w:vAlign w:val="bottom"/>
            <w:hideMark/>
          </w:tcPr>
          <w:p w14:paraId="4051C9C0"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90</w:t>
            </w:r>
          </w:p>
        </w:tc>
        <w:tc>
          <w:tcPr>
            <w:tcW w:w="1540" w:type="dxa"/>
            <w:shd w:val="clear" w:color="auto" w:fill="auto"/>
            <w:noWrap/>
            <w:vAlign w:val="bottom"/>
            <w:hideMark/>
          </w:tcPr>
          <w:p w14:paraId="1CB58E6A"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13,0</w:t>
            </w:r>
          </w:p>
        </w:tc>
        <w:tc>
          <w:tcPr>
            <w:tcW w:w="3100" w:type="dxa"/>
            <w:shd w:val="clear" w:color="auto" w:fill="auto"/>
            <w:noWrap/>
            <w:vAlign w:val="bottom"/>
            <w:hideMark/>
          </w:tcPr>
          <w:p w14:paraId="7C252CCE"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198.540 </w:t>
            </w:r>
          </w:p>
        </w:tc>
      </w:tr>
      <w:tr w:rsidR="00AB73F4" w:rsidRPr="001420D6" w14:paraId="190BED7B" w14:textId="77777777" w:rsidTr="00045027">
        <w:trPr>
          <w:trHeight w:val="285"/>
        </w:trPr>
        <w:tc>
          <w:tcPr>
            <w:tcW w:w="1540" w:type="dxa"/>
            <w:shd w:val="clear" w:color="auto" w:fill="auto"/>
            <w:noWrap/>
            <w:vAlign w:val="bottom"/>
            <w:hideMark/>
          </w:tcPr>
          <w:p w14:paraId="3A87AE9B"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91</w:t>
            </w:r>
          </w:p>
        </w:tc>
        <w:tc>
          <w:tcPr>
            <w:tcW w:w="1540" w:type="dxa"/>
            <w:shd w:val="clear" w:color="auto" w:fill="auto"/>
            <w:noWrap/>
            <w:vAlign w:val="bottom"/>
            <w:hideMark/>
          </w:tcPr>
          <w:p w14:paraId="024249A1"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14,2</w:t>
            </w:r>
          </w:p>
        </w:tc>
        <w:tc>
          <w:tcPr>
            <w:tcW w:w="3100" w:type="dxa"/>
            <w:shd w:val="clear" w:color="auto" w:fill="auto"/>
            <w:noWrap/>
            <w:vAlign w:val="bottom"/>
            <w:hideMark/>
          </w:tcPr>
          <w:p w14:paraId="440F4662"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216.683 </w:t>
            </w:r>
          </w:p>
        </w:tc>
      </w:tr>
      <w:tr w:rsidR="00AB73F4" w:rsidRPr="001420D6" w14:paraId="253EF2FF" w14:textId="77777777" w:rsidTr="00045027">
        <w:trPr>
          <w:trHeight w:val="285"/>
        </w:trPr>
        <w:tc>
          <w:tcPr>
            <w:tcW w:w="1540" w:type="dxa"/>
            <w:shd w:val="clear" w:color="auto" w:fill="auto"/>
            <w:noWrap/>
            <w:vAlign w:val="bottom"/>
            <w:hideMark/>
          </w:tcPr>
          <w:p w14:paraId="79A243EC"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92</w:t>
            </w:r>
          </w:p>
        </w:tc>
        <w:tc>
          <w:tcPr>
            <w:tcW w:w="1540" w:type="dxa"/>
            <w:shd w:val="clear" w:color="auto" w:fill="auto"/>
            <w:noWrap/>
            <w:vAlign w:val="bottom"/>
            <w:hideMark/>
          </w:tcPr>
          <w:p w14:paraId="6114B66F"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15,4</w:t>
            </w:r>
          </w:p>
        </w:tc>
        <w:tc>
          <w:tcPr>
            <w:tcW w:w="3100" w:type="dxa"/>
            <w:shd w:val="clear" w:color="auto" w:fill="auto"/>
            <w:noWrap/>
            <w:vAlign w:val="bottom"/>
            <w:hideMark/>
          </w:tcPr>
          <w:p w14:paraId="72A7AA58"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233.954 </w:t>
            </w:r>
          </w:p>
        </w:tc>
      </w:tr>
      <w:tr w:rsidR="00AB73F4" w:rsidRPr="001420D6" w14:paraId="272F59D4" w14:textId="77777777" w:rsidTr="00045027">
        <w:trPr>
          <w:trHeight w:val="285"/>
        </w:trPr>
        <w:tc>
          <w:tcPr>
            <w:tcW w:w="1540" w:type="dxa"/>
            <w:shd w:val="clear" w:color="auto" w:fill="auto"/>
            <w:noWrap/>
            <w:vAlign w:val="bottom"/>
            <w:hideMark/>
          </w:tcPr>
          <w:p w14:paraId="7AFCF261"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93</w:t>
            </w:r>
          </w:p>
        </w:tc>
        <w:tc>
          <w:tcPr>
            <w:tcW w:w="1540" w:type="dxa"/>
            <w:shd w:val="clear" w:color="auto" w:fill="auto"/>
            <w:noWrap/>
            <w:vAlign w:val="bottom"/>
            <w:hideMark/>
          </w:tcPr>
          <w:p w14:paraId="54EB79F5"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16,5</w:t>
            </w:r>
          </w:p>
        </w:tc>
        <w:tc>
          <w:tcPr>
            <w:tcW w:w="3100" w:type="dxa"/>
            <w:shd w:val="clear" w:color="auto" w:fill="auto"/>
            <w:noWrap/>
            <w:vAlign w:val="bottom"/>
            <w:hideMark/>
          </w:tcPr>
          <w:p w14:paraId="68B29C9E"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251.487 </w:t>
            </w:r>
          </w:p>
        </w:tc>
      </w:tr>
      <w:tr w:rsidR="00AB73F4" w:rsidRPr="001420D6" w14:paraId="2F2BF188" w14:textId="77777777" w:rsidTr="00045027">
        <w:trPr>
          <w:trHeight w:val="285"/>
        </w:trPr>
        <w:tc>
          <w:tcPr>
            <w:tcW w:w="1540" w:type="dxa"/>
            <w:shd w:val="clear" w:color="auto" w:fill="auto"/>
            <w:noWrap/>
            <w:vAlign w:val="bottom"/>
            <w:hideMark/>
          </w:tcPr>
          <w:p w14:paraId="5E95DA3A"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94</w:t>
            </w:r>
          </w:p>
        </w:tc>
        <w:tc>
          <w:tcPr>
            <w:tcW w:w="1540" w:type="dxa"/>
            <w:shd w:val="clear" w:color="auto" w:fill="auto"/>
            <w:noWrap/>
            <w:vAlign w:val="bottom"/>
            <w:hideMark/>
          </w:tcPr>
          <w:p w14:paraId="35E1D676"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18,1</w:t>
            </w:r>
          </w:p>
        </w:tc>
        <w:tc>
          <w:tcPr>
            <w:tcW w:w="3100" w:type="dxa"/>
            <w:shd w:val="clear" w:color="auto" w:fill="auto"/>
            <w:noWrap/>
            <w:vAlign w:val="bottom"/>
            <w:hideMark/>
          </w:tcPr>
          <w:p w14:paraId="33ED3C38"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275.643 </w:t>
            </w:r>
          </w:p>
        </w:tc>
      </w:tr>
      <w:tr w:rsidR="00AB73F4" w:rsidRPr="001420D6" w14:paraId="1C0CBFAC" w14:textId="77777777" w:rsidTr="00045027">
        <w:trPr>
          <w:trHeight w:val="285"/>
        </w:trPr>
        <w:tc>
          <w:tcPr>
            <w:tcW w:w="1540" w:type="dxa"/>
            <w:shd w:val="clear" w:color="auto" w:fill="auto"/>
            <w:noWrap/>
            <w:vAlign w:val="bottom"/>
            <w:hideMark/>
          </w:tcPr>
          <w:p w14:paraId="43DDC94B"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95</w:t>
            </w:r>
          </w:p>
        </w:tc>
        <w:tc>
          <w:tcPr>
            <w:tcW w:w="1540" w:type="dxa"/>
            <w:shd w:val="clear" w:color="auto" w:fill="auto"/>
            <w:noWrap/>
            <w:vAlign w:val="bottom"/>
            <w:hideMark/>
          </w:tcPr>
          <w:p w14:paraId="2E8028C0"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17,6</w:t>
            </w:r>
          </w:p>
        </w:tc>
        <w:tc>
          <w:tcPr>
            <w:tcW w:w="3100" w:type="dxa"/>
            <w:shd w:val="clear" w:color="auto" w:fill="auto"/>
            <w:noWrap/>
            <w:vAlign w:val="bottom"/>
            <w:hideMark/>
          </w:tcPr>
          <w:p w14:paraId="05A813D0"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267.751 </w:t>
            </w:r>
          </w:p>
        </w:tc>
      </w:tr>
      <w:tr w:rsidR="00AB73F4" w:rsidRPr="001420D6" w14:paraId="2D488080" w14:textId="77777777" w:rsidTr="00045027">
        <w:trPr>
          <w:trHeight w:val="285"/>
        </w:trPr>
        <w:tc>
          <w:tcPr>
            <w:tcW w:w="1540" w:type="dxa"/>
            <w:shd w:val="clear" w:color="auto" w:fill="auto"/>
            <w:noWrap/>
            <w:vAlign w:val="bottom"/>
            <w:hideMark/>
          </w:tcPr>
          <w:p w14:paraId="3021EA4C"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96</w:t>
            </w:r>
          </w:p>
        </w:tc>
        <w:tc>
          <w:tcPr>
            <w:tcW w:w="1540" w:type="dxa"/>
            <w:shd w:val="clear" w:color="auto" w:fill="auto"/>
            <w:noWrap/>
            <w:vAlign w:val="bottom"/>
            <w:hideMark/>
          </w:tcPr>
          <w:p w14:paraId="20264405"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18,8</w:t>
            </w:r>
          </w:p>
        </w:tc>
        <w:tc>
          <w:tcPr>
            <w:tcW w:w="3100" w:type="dxa"/>
            <w:shd w:val="clear" w:color="auto" w:fill="auto"/>
            <w:noWrap/>
            <w:vAlign w:val="bottom"/>
            <w:hideMark/>
          </w:tcPr>
          <w:p w14:paraId="770C488F"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285.918 </w:t>
            </w:r>
          </w:p>
        </w:tc>
      </w:tr>
      <w:tr w:rsidR="00AB73F4" w:rsidRPr="001420D6" w14:paraId="5866144D" w14:textId="77777777" w:rsidTr="00045027">
        <w:trPr>
          <w:trHeight w:val="285"/>
        </w:trPr>
        <w:tc>
          <w:tcPr>
            <w:tcW w:w="1540" w:type="dxa"/>
            <w:shd w:val="clear" w:color="auto" w:fill="auto"/>
            <w:noWrap/>
            <w:vAlign w:val="bottom"/>
            <w:hideMark/>
          </w:tcPr>
          <w:p w14:paraId="51766D5D"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97</w:t>
            </w:r>
          </w:p>
        </w:tc>
        <w:tc>
          <w:tcPr>
            <w:tcW w:w="1540" w:type="dxa"/>
            <w:shd w:val="clear" w:color="auto" w:fill="auto"/>
            <w:noWrap/>
            <w:vAlign w:val="bottom"/>
            <w:hideMark/>
          </w:tcPr>
          <w:p w14:paraId="474E71D6"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19,7</w:t>
            </w:r>
          </w:p>
        </w:tc>
        <w:tc>
          <w:tcPr>
            <w:tcW w:w="3100" w:type="dxa"/>
            <w:shd w:val="clear" w:color="auto" w:fill="auto"/>
            <w:noWrap/>
            <w:vAlign w:val="bottom"/>
            <w:hideMark/>
          </w:tcPr>
          <w:p w14:paraId="2771EB8C"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300.445 </w:t>
            </w:r>
          </w:p>
        </w:tc>
      </w:tr>
      <w:tr w:rsidR="00AB73F4" w:rsidRPr="001420D6" w14:paraId="2931093A" w14:textId="77777777" w:rsidTr="00045027">
        <w:trPr>
          <w:trHeight w:val="285"/>
        </w:trPr>
        <w:tc>
          <w:tcPr>
            <w:tcW w:w="1540" w:type="dxa"/>
            <w:shd w:val="clear" w:color="auto" w:fill="auto"/>
            <w:noWrap/>
            <w:vAlign w:val="bottom"/>
            <w:hideMark/>
          </w:tcPr>
          <w:p w14:paraId="5F25C1E3"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98</w:t>
            </w:r>
          </w:p>
        </w:tc>
        <w:tc>
          <w:tcPr>
            <w:tcW w:w="1540" w:type="dxa"/>
            <w:shd w:val="clear" w:color="auto" w:fill="auto"/>
            <w:noWrap/>
            <w:vAlign w:val="bottom"/>
            <w:hideMark/>
          </w:tcPr>
          <w:p w14:paraId="468BFB3B"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18,9</w:t>
            </w:r>
          </w:p>
        </w:tc>
        <w:tc>
          <w:tcPr>
            <w:tcW w:w="3100" w:type="dxa"/>
            <w:shd w:val="clear" w:color="auto" w:fill="auto"/>
            <w:noWrap/>
            <w:vAlign w:val="bottom"/>
            <w:hideMark/>
          </w:tcPr>
          <w:p w14:paraId="0331D124"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287.072 </w:t>
            </w:r>
          </w:p>
        </w:tc>
      </w:tr>
      <w:tr w:rsidR="00AB73F4" w:rsidRPr="001420D6" w14:paraId="46902F24" w14:textId="77777777" w:rsidTr="00045027">
        <w:trPr>
          <w:trHeight w:val="285"/>
        </w:trPr>
        <w:tc>
          <w:tcPr>
            <w:tcW w:w="1540" w:type="dxa"/>
            <w:shd w:val="clear" w:color="auto" w:fill="auto"/>
            <w:noWrap/>
            <w:vAlign w:val="bottom"/>
            <w:hideMark/>
          </w:tcPr>
          <w:p w14:paraId="593BC3EC"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99</w:t>
            </w:r>
          </w:p>
        </w:tc>
        <w:tc>
          <w:tcPr>
            <w:tcW w:w="1540" w:type="dxa"/>
            <w:shd w:val="clear" w:color="auto" w:fill="auto"/>
            <w:noWrap/>
            <w:vAlign w:val="bottom"/>
            <w:hideMark/>
          </w:tcPr>
          <w:p w14:paraId="64D81B02"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23,4</w:t>
            </w:r>
          </w:p>
        </w:tc>
        <w:tc>
          <w:tcPr>
            <w:tcW w:w="3100" w:type="dxa"/>
            <w:shd w:val="clear" w:color="auto" w:fill="auto"/>
            <w:noWrap/>
            <w:vAlign w:val="bottom"/>
            <w:hideMark/>
          </w:tcPr>
          <w:p w14:paraId="5191199B"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356.947 </w:t>
            </w:r>
          </w:p>
        </w:tc>
      </w:tr>
      <w:tr w:rsidR="00AB73F4" w:rsidRPr="001420D6" w14:paraId="16977E3E" w14:textId="77777777" w:rsidTr="00045027">
        <w:trPr>
          <w:trHeight w:val="285"/>
        </w:trPr>
        <w:tc>
          <w:tcPr>
            <w:tcW w:w="1540" w:type="dxa"/>
            <w:tcBorders>
              <w:bottom w:val="single" w:sz="4" w:space="0" w:color="305698"/>
            </w:tcBorders>
            <w:shd w:val="clear" w:color="auto" w:fill="auto"/>
            <w:noWrap/>
            <w:vAlign w:val="bottom"/>
            <w:hideMark/>
          </w:tcPr>
          <w:p w14:paraId="246D5E22" w14:textId="77777777" w:rsidR="00AB73F4" w:rsidRPr="001420D6" w:rsidRDefault="00AB73F4" w:rsidP="00045027">
            <w:pPr>
              <w:spacing w:line="240" w:lineRule="auto"/>
              <w:rPr>
                <w:rFonts w:asciiTheme="majorHAnsi" w:hAnsiTheme="majorHAnsi" w:cstheme="majorHAnsi"/>
              </w:rPr>
            </w:pPr>
            <w:r w:rsidRPr="001420D6">
              <w:rPr>
                <w:rFonts w:asciiTheme="majorHAnsi" w:hAnsiTheme="majorHAnsi" w:cstheme="majorHAnsi"/>
              </w:rPr>
              <w:t>100+</w:t>
            </w:r>
          </w:p>
        </w:tc>
        <w:tc>
          <w:tcPr>
            <w:tcW w:w="1540" w:type="dxa"/>
            <w:tcBorders>
              <w:bottom w:val="single" w:sz="4" w:space="0" w:color="305698"/>
            </w:tcBorders>
            <w:shd w:val="clear" w:color="auto" w:fill="auto"/>
            <w:noWrap/>
            <w:vAlign w:val="bottom"/>
            <w:hideMark/>
          </w:tcPr>
          <w:p w14:paraId="12C100F7"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25,3</w:t>
            </w:r>
          </w:p>
        </w:tc>
        <w:tc>
          <w:tcPr>
            <w:tcW w:w="3100" w:type="dxa"/>
            <w:tcBorders>
              <w:bottom w:val="single" w:sz="4" w:space="0" w:color="305698"/>
            </w:tcBorders>
            <w:shd w:val="clear" w:color="auto" w:fill="auto"/>
            <w:noWrap/>
            <w:vAlign w:val="bottom"/>
            <w:hideMark/>
          </w:tcPr>
          <w:p w14:paraId="114EC991" w14:textId="77777777" w:rsidR="00AB73F4" w:rsidRPr="001420D6" w:rsidRDefault="00AB73F4" w:rsidP="00045027">
            <w:pPr>
              <w:spacing w:line="240" w:lineRule="auto"/>
              <w:jc w:val="right"/>
              <w:rPr>
                <w:rFonts w:asciiTheme="majorHAnsi" w:hAnsiTheme="majorHAnsi" w:cstheme="majorHAnsi"/>
              </w:rPr>
            </w:pPr>
            <w:r w:rsidRPr="001420D6">
              <w:rPr>
                <w:rFonts w:asciiTheme="majorHAnsi" w:hAnsiTheme="majorHAnsi" w:cstheme="majorHAnsi"/>
              </w:rPr>
              <w:t xml:space="preserve">                                   385.340 </w:t>
            </w:r>
          </w:p>
        </w:tc>
      </w:tr>
    </w:tbl>
    <w:p w14:paraId="2FA34B60" w14:textId="62B58982" w:rsidR="00360531" w:rsidRPr="006D5F89" w:rsidRDefault="00AB73F4" w:rsidP="00360531">
      <w:pPr>
        <w:rPr>
          <w:rFonts w:ascii="Calibri" w:hAnsi="Calibri" w:cs="Calibri"/>
          <w:sz w:val="22"/>
          <w:szCs w:val="22"/>
        </w:rPr>
      </w:pPr>
      <w:r w:rsidRPr="00F470A7">
        <w:rPr>
          <w:rFonts w:asciiTheme="majorHAnsi" w:hAnsiTheme="majorHAnsi" w:cstheme="majorHAnsi"/>
          <w:sz w:val="18"/>
          <w:szCs w:val="18"/>
        </w:rPr>
        <w:t xml:space="preserve">Kilde: </w:t>
      </w:r>
      <w:r w:rsidR="00360531" w:rsidRPr="00360531">
        <w:rPr>
          <w:rFonts w:asciiTheme="majorHAnsi" w:hAnsiTheme="majorHAnsi" w:cstheme="majorHAnsi"/>
          <w:sz w:val="18"/>
          <w:szCs w:val="18"/>
        </w:rPr>
        <w:t xml:space="preserve">Vægtene for de enkelte aldersgruppers udgiftsbehov </w:t>
      </w:r>
      <w:r w:rsidR="00360531">
        <w:rPr>
          <w:rFonts w:asciiTheme="majorHAnsi" w:hAnsiTheme="majorHAnsi" w:cstheme="majorHAnsi"/>
          <w:sz w:val="18"/>
          <w:szCs w:val="18"/>
        </w:rPr>
        <w:t xml:space="preserve">er Ældre Sagens egne beregninger på baggrund af enhedsudgifter </w:t>
      </w:r>
      <w:r w:rsidR="00360531" w:rsidRPr="00360531">
        <w:rPr>
          <w:rFonts w:asciiTheme="majorHAnsi" w:hAnsiTheme="majorHAnsi" w:cstheme="majorHAnsi"/>
          <w:sz w:val="18"/>
          <w:szCs w:val="18"/>
        </w:rPr>
        <w:t>fra en endnu ikke offentliggjort ekstern konsulentrapport, som udarbejdes på vegne af Ældre Sagen (forventes offentliggjort i efteråret 2021)</w:t>
      </w:r>
      <w:r w:rsidR="00360531">
        <w:rPr>
          <w:rFonts w:asciiTheme="majorHAnsi" w:hAnsiTheme="majorHAnsi" w:cstheme="majorHAnsi"/>
          <w:sz w:val="18"/>
          <w:szCs w:val="18"/>
        </w:rPr>
        <w:t>.</w:t>
      </w:r>
    </w:p>
    <w:p w14:paraId="4CD2DDB3" w14:textId="268F5EA5" w:rsidR="00AB73F4" w:rsidRPr="00F470A7" w:rsidRDefault="00AB73F4" w:rsidP="00AB73F4">
      <w:pPr>
        <w:rPr>
          <w:rFonts w:asciiTheme="majorHAnsi" w:hAnsiTheme="majorHAnsi" w:cstheme="majorHAnsi"/>
          <w:sz w:val="18"/>
          <w:szCs w:val="18"/>
        </w:rPr>
      </w:pPr>
    </w:p>
    <w:p w14:paraId="508FF950" w14:textId="77777777" w:rsidR="00AB73F4" w:rsidRPr="001420D6" w:rsidRDefault="00AB73F4" w:rsidP="00AB73F4">
      <w:pPr>
        <w:rPr>
          <w:rFonts w:asciiTheme="majorHAnsi" w:hAnsiTheme="majorHAnsi" w:cstheme="majorHAnsi"/>
        </w:rPr>
      </w:pPr>
    </w:p>
    <w:p w14:paraId="3E5C515F" w14:textId="77777777" w:rsidR="00AB73F4" w:rsidRPr="001420D6" w:rsidRDefault="00AB73F4" w:rsidP="00AB73F4">
      <w:pPr>
        <w:rPr>
          <w:rFonts w:asciiTheme="majorHAnsi" w:hAnsiTheme="majorHAnsi" w:cstheme="majorHAnsi"/>
        </w:rPr>
      </w:pPr>
    </w:p>
    <w:p w14:paraId="76AA8525" w14:textId="77777777" w:rsidR="00AB73F4" w:rsidRPr="001420D6" w:rsidRDefault="00AB73F4" w:rsidP="00AB73F4">
      <w:pPr>
        <w:rPr>
          <w:rFonts w:asciiTheme="majorHAnsi" w:hAnsiTheme="majorHAnsi" w:cstheme="majorHAnsi"/>
        </w:rPr>
      </w:pPr>
    </w:p>
    <w:p w14:paraId="06C2E244" w14:textId="77777777" w:rsidR="00AB73F4" w:rsidRPr="001420D6" w:rsidRDefault="00AB73F4" w:rsidP="00AB73F4">
      <w:pPr>
        <w:rPr>
          <w:rFonts w:asciiTheme="majorHAnsi" w:hAnsiTheme="majorHAnsi" w:cstheme="majorHAnsi"/>
        </w:rPr>
      </w:pPr>
    </w:p>
    <w:p w14:paraId="7D6F0E0F" w14:textId="77777777" w:rsidR="00AB73F4" w:rsidRPr="001420D6" w:rsidRDefault="00AB73F4" w:rsidP="00AB73F4">
      <w:pPr>
        <w:rPr>
          <w:rFonts w:asciiTheme="majorHAnsi" w:hAnsiTheme="majorHAnsi" w:cstheme="majorHAnsi"/>
        </w:rPr>
      </w:pPr>
    </w:p>
    <w:tbl>
      <w:tblPr>
        <w:tblW w:w="6804" w:type="dxa"/>
        <w:tblCellMar>
          <w:left w:w="70" w:type="dxa"/>
          <w:right w:w="70" w:type="dxa"/>
        </w:tblCellMar>
        <w:tblLook w:val="04A0" w:firstRow="1" w:lastRow="0" w:firstColumn="1" w:lastColumn="0" w:noHBand="0" w:noVBand="1"/>
      </w:tblPr>
      <w:tblGrid>
        <w:gridCol w:w="1605"/>
        <w:gridCol w:w="1622"/>
        <w:gridCol w:w="3577"/>
      </w:tblGrid>
      <w:tr w:rsidR="00AB73F4" w:rsidRPr="00CF5EC6" w14:paraId="2043C5F7" w14:textId="77777777" w:rsidTr="00045027">
        <w:trPr>
          <w:trHeight w:val="372"/>
        </w:trPr>
        <w:tc>
          <w:tcPr>
            <w:tcW w:w="6804" w:type="dxa"/>
            <w:gridSpan w:val="3"/>
            <w:tcBorders>
              <w:bottom w:val="single" w:sz="4" w:space="0" w:color="305698"/>
            </w:tcBorders>
            <w:shd w:val="clear" w:color="auto" w:fill="305698"/>
            <w:vAlign w:val="bottom"/>
          </w:tcPr>
          <w:p w14:paraId="287B60F8" w14:textId="0AAA2B4E" w:rsidR="00AB73F4" w:rsidRPr="002855DF" w:rsidRDefault="00AB73F4" w:rsidP="00045027">
            <w:pPr>
              <w:spacing w:line="240" w:lineRule="auto"/>
              <w:rPr>
                <w:rFonts w:asciiTheme="majorHAnsi" w:hAnsiTheme="majorHAnsi" w:cstheme="majorHAnsi"/>
                <w:b/>
                <w:bCs/>
                <w:color w:val="FFFFFF" w:themeColor="background1"/>
              </w:rPr>
            </w:pPr>
            <w:r w:rsidRPr="002855DF">
              <w:rPr>
                <w:rFonts w:asciiTheme="majorHAnsi" w:hAnsiTheme="majorHAnsi" w:cstheme="majorHAnsi"/>
                <w:b/>
                <w:bCs/>
                <w:color w:val="FFFFFF" w:themeColor="background1"/>
              </w:rPr>
              <w:t>Tabel 5</w:t>
            </w:r>
            <w:r>
              <w:rPr>
                <w:rFonts w:asciiTheme="majorHAnsi" w:hAnsiTheme="majorHAnsi" w:cstheme="majorHAnsi"/>
                <w:b/>
                <w:bCs/>
                <w:color w:val="FFFFFF" w:themeColor="background1"/>
              </w:rPr>
              <w:t>. Estimere</w:t>
            </w:r>
            <w:r w:rsidR="00ED539E">
              <w:rPr>
                <w:rFonts w:asciiTheme="majorHAnsi" w:hAnsiTheme="majorHAnsi" w:cstheme="majorHAnsi"/>
                <w:b/>
                <w:bCs/>
                <w:color w:val="FFFFFF" w:themeColor="background1"/>
              </w:rPr>
              <w:t>t</w:t>
            </w:r>
            <w:r>
              <w:rPr>
                <w:rFonts w:asciiTheme="majorHAnsi" w:hAnsiTheme="majorHAnsi" w:cstheme="majorHAnsi"/>
                <w:b/>
                <w:bCs/>
                <w:color w:val="FFFFFF" w:themeColor="background1"/>
              </w:rPr>
              <w:t xml:space="preserve"> enhedsomkostning i 2021</w:t>
            </w:r>
          </w:p>
        </w:tc>
      </w:tr>
      <w:tr w:rsidR="00AB73F4" w:rsidRPr="00CF5EC6" w14:paraId="1342F2C5" w14:textId="77777777" w:rsidTr="00045027">
        <w:trPr>
          <w:trHeight w:val="558"/>
        </w:trPr>
        <w:tc>
          <w:tcPr>
            <w:tcW w:w="1605" w:type="dxa"/>
            <w:tcBorders>
              <w:bottom w:val="single" w:sz="4" w:space="0" w:color="305698"/>
            </w:tcBorders>
            <w:shd w:val="clear" w:color="auto" w:fill="auto"/>
            <w:vAlign w:val="bottom"/>
            <w:hideMark/>
          </w:tcPr>
          <w:p w14:paraId="630E4D39"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Alder</w:t>
            </w:r>
          </w:p>
        </w:tc>
        <w:tc>
          <w:tcPr>
            <w:tcW w:w="1622" w:type="dxa"/>
            <w:tcBorders>
              <w:bottom w:val="single" w:sz="4" w:space="0" w:color="305698"/>
            </w:tcBorders>
            <w:shd w:val="clear" w:color="auto" w:fill="auto"/>
            <w:vAlign w:val="bottom"/>
            <w:hideMark/>
          </w:tcPr>
          <w:p w14:paraId="36B58243"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Vægt</w:t>
            </w:r>
          </w:p>
        </w:tc>
        <w:tc>
          <w:tcPr>
            <w:tcW w:w="3577" w:type="dxa"/>
            <w:tcBorders>
              <w:bottom w:val="single" w:sz="4" w:space="0" w:color="305698"/>
            </w:tcBorders>
            <w:shd w:val="clear" w:color="auto" w:fill="auto"/>
            <w:vAlign w:val="bottom"/>
            <w:hideMark/>
          </w:tcPr>
          <w:p w14:paraId="6C531629" w14:textId="54EC1807" w:rsidR="00AB73F4" w:rsidRDefault="00AB73F4" w:rsidP="00045027">
            <w:pPr>
              <w:spacing w:line="240" w:lineRule="auto"/>
              <w:jc w:val="right"/>
              <w:rPr>
                <w:rFonts w:asciiTheme="majorHAnsi" w:hAnsiTheme="majorHAnsi" w:cstheme="majorHAnsi"/>
              </w:rPr>
            </w:pPr>
            <w:r w:rsidRPr="00CF5EC6">
              <w:rPr>
                <w:rFonts w:asciiTheme="majorHAnsi" w:hAnsiTheme="majorHAnsi" w:cstheme="majorHAnsi"/>
              </w:rPr>
              <w:t>Estimeret enhedsomkostning i 20</w:t>
            </w:r>
            <w:r w:rsidR="004425E7">
              <w:rPr>
                <w:rFonts w:asciiTheme="majorHAnsi" w:hAnsiTheme="majorHAnsi" w:cstheme="majorHAnsi"/>
              </w:rPr>
              <w:t>21</w:t>
            </w:r>
            <w:r w:rsidRPr="00CF5EC6">
              <w:rPr>
                <w:rFonts w:asciiTheme="majorHAnsi" w:hAnsiTheme="majorHAnsi" w:cstheme="majorHAnsi"/>
              </w:rPr>
              <w:t xml:space="preserve"> </w:t>
            </w:r>
          </w:p>
          <w:p w14:paraId="4A860A38"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(i 2021-priser), kr.</w:t>
            </w:r>
          </w:p>
        </w:tc>
      </w:tr>
      <w:tr w:rsidR="00AB73F4" w:rsidRPr="00CF5EC6" w14:paraId="3350E195" w14:textId="77777777" w:rsidTr="00045027">
        <w:trPr>
          <w:trHeight w:val="276"/>
        </w:trPr>
        <w:tc>
          <w:tcPr>
            <w:tcW w:w="1605" w:type="dxa"/>
            <w:tcBorders>
              <w:top w:val="single" w:sz="4" w:space="0" w:color="305698"/>
            </w:tcBorders>
            <w:shd w:val="clear" w:color="auto" w:fill="auto"/>
            <w:noWrap/>
            <w:vAlign w:val="bottom"/>
            <w:hideMark/>
          </w:tcPr>
          <w:p w14:paraId="0A681CAD"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67</w:t>
            </w:r>
          </w:p>
        </w:tc>
        <w:tc>
          <w:tcPr>
            <w:tcW w:w="1622" w:type="dxa"/>
            <w:tcBorders>
              <w:top w:val="single" w:sz="4" w:space="0" w:color="305698"/>
            </w:tcBorders>
            <w:shd w:val="clear" w:color="auto" w:fill="auto"/>
            <w:noWrap/>
            <w:vAlign w:val="bottom"/>
            <w:hideMark/>
          </w:tcPr>
          <w:p w14:paraId="5720D9A9"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1,0</w:t>
            </w:r>
          </w:p>
        </w:tc>
        <w:tc>
          <w:tcPr>
            <w:tcW w:w="3577" w:type="dxa"/>
            <w:tcBorders>
              <w:top w:val="single" w:sz="4" w:space="0" w:color="305698"/>
            </w:tcBorders>
            <w:shd w:val="clear" w:color="auto" w:fill="auto"/>
            <w:noWrap/>
            <w:vAlign w:val="bottom"/>
            <w:hideMark/>
          </w:tcPr>
          <w:p w14:paraId="224B06CE"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12.833</w:t>
            </w:r>
          </w:p>
        </w:tc>
      </w:tr>
      <w:tr w:rsidR="00AB73F4" w:rsidRPr="00CF5EC6" w14:paraId="339707D8" w14:textId="77777777" w:rsidTr="00045027">
        <w:trPr>
          <w:trHeight w:val="276"/>
        </w:trPr>
        <w:tc>
          <w:tcPr>
            <w:tcW w:w="1605" w:type="dxa"/>
            <w:shd w:val="clear" w:color="auto" w:fill="auto"/>
            <w:noWrap/>
            <w:vAlign w:val="bottom"/>
            <w:hideMark/>
          </w:tcPr>
          <w:p w14:paraId="40EAD550"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68</w:t>
            </w:r>
          </w:p>
        </w:tc>
        <w:tc>
          <w:tcPr>
            <w:tcW w:w="1622" w:type="dxa"/>
            <w:shd w:val="clear" w:color="auto" w:fill="auto"/>
            <w:noWrap/>
            <w:vAlign w:val="bottom"/>
            <w:hideMark/>
          </w:tcPr>
          <w:p w14:paraId="0C064325"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1,0</w:t>
            </w:r>
          </w:p>
        </w:tc>
        <w:tc>
          <w:tcPr>
            <w:tcW w:w="3577" w:type="dxa"/>
            <w:shd w:val="clear" w:color="auto" w:fill="auto"/>
            <w:noWrap/>
            <w:vAlign w:val="bottom"/>
            <w:hideMark/>
          </w:tcPr>
          <w:p w14:paraId="674A9730"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13.266</w:t>
            </w:r>
          </w:p>
        </w:tc>
      </w:tr>
      <w:tr w:rsidR="00AB73F4" w:rsidRPr="00CF5EC6" w14:paraId="2305C4FA" w14:textId="77777777" w:rsidTr="00045027">
        <w:trPr>
          <w:trHeight w:val="276"/>
        </w:trPr>
        <w:tc>
          <w:tcPr>
            <w:tcW w:w="1605" w:type="dxa"/>
            <w:shd w:val="clear" w:color="auto" w:fill="auto"/>
            <w:noWrap/>
            <w:vAlign w:val="bottom"/>
            <w:hideMark/>
          </w:tcPr>
          <w:p w14:paraId="4414C987"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69</w:t>
            </w:r>
          </w:p>
        </w:tc>
        <w:tc>
          <w:tcPr>
            <w:tcW w:w="1622" w:type="dxa"/>
            <w:shd w:val="clear" w:color="auto" w:fill="auto"/>
            <w:noWrap/>
            <w:vAlign w:val="bottom"/>
            <w:hideMark/>
          </w:tcPr>
          <w:p w14:paraId="6C8414A2"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1,1</w:t>
            </w:r>
          </w:p>
        </w:tc>
        <w:tc>
          <w:tcPr>
            <w:tcW w:w="3577" w:type="dxa"/>
            <w:shd w:val="clear" w:color="auto" w:fill="auto"/>
            <w:noWrap/>
            <w:vAlign w:val="bottom"/>
            <w:hideMark/>
          </w:tcPr>
          <w:p w14:paraId="22188DD4"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13.988</w:t>
            </w:r>
          </w:p>
        </w:tc>
      </w:tr>
      <w:tr w:rsidR="00AB73F4" w:rsidRPr="00CF5EC6" w14:paraId="7C7EA480" w14:textId="77777777" w:rsidTr="00045027">
        <w:trPr>
          <w:trHeight w:val="276"/>
        </w:trPr>
        <w:tc>
          <w:tcPr>
            <w:tcW w:w="1605" w:type="dxa"/>
            <w:shd w:val="clear" w:color="auto" w:fill="auto"/>
            <w:noWrap/>
            <w:vAlign w:val="bottom"/>
            <w:hideMark/>
          </w:tcPr>
          <w:p w14:paraId="2F625ED2"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70</w:t>
            </w:r>
          </w:p>
        </w:tc>
        <w:tc>
          <w:tcPr>
            <w:tcW w:w="1622" w:type="dxa"/>
            <w:shd w:val="clear" w:color="auto" w:fill="auto"/>
            <w:noWrap/>
            <w:vAlign w:val="bottom"/>
            <w:hideMark/>
          </w:tcPr>
          <w:p w14:paraId="6BDC7A60"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1,3</w:t>
            </w:r>
          </w:p>
        </w:tc>
        <w:tc>
          <w:tcPr>
            <w:tcW w:w="3577" w:type="dxa"/>
            <w:shd w:val="clear" w:color="auto" w:fill="auto"/>
            <w:noWrap/>
            <w:vAlign w:val="bottom"/>
            <w:hideMark/>
          </w:tcPr>
          <w:p w14:paraId="044F97C9"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17.176</w:t>
            </w:r>
          </w:p>
        </w:tc>
      </w:tr>
      <w:tr w:rsidR="00AB73F4" w:rsidRPr="00CF5EC6" w14:paraId="5415EBE2" w14:textId="77777777" w:rsidTr="00045027">
        <w:trPr>
          <w:trHeight w:val="276"/>
        </w:trPr>
        <w:tc>
          <w:tcPr>
            <w:tcW w:w="1605" w:type="dxa"/>
            <w:shd w:val="clear" w:color="auto" w:fill="auto"/>
            <w:noWrap/>
            <w:vAlign w:val="bottom"/>
            <w:hideMark/>
          </w:tcPr>
          <w:p w14:paraId="2179C254"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71</w:t>
            </w:r>
          </w:p>
        </w:tc>
        <w:tc>
          <w:tcPr>
            <w:tcW w:w="1622" w:type="dxa"/>
            <w:shd w:val="clear" w:color="auto" w:fill="auto"/>
            <w:noWrap/>
            <w:vAlign w:val="bottom"/>
            <w:hideMark/>
          </w:tcPr>
          <w:p w14:paraId="5720E5DC"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1,4</w:t>
            </w:r>
          </w:p>
        </w:tc>
        <w:tc>
          <w:tcPr>
            <w:tcW w:w="3577" w:type="dxa"/>
            <w:shd w:val="clear" w:color="auto" w:fill="auto"/>
            <w:noWrap/>
            <w:vAlign w:val="bottom"/>
            <w:hideMark/>
          </w:tcPr>
          <w:p w14:paraId="241EFE7E"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17.388</w:t>
            </w:r>
          </w:p>
        </w:tc>
      </w:tr>
      <w:tr w:rsidR="00AB73F4" w:rsidRPr="00CF5EC6" w14:paraId="58DDD203" w14:textId="77777777" w:rsidTr="00045027">
        <w:trPr>
          <w:trHeight w:val="276"/>
        </w:trPr>
        <w:tc>
          <w:tcPr>
            <w:tcW w:w="1605" w:type="dxa"/>
            <w:shd w:val="clear" w:color="auto" w:fill="auto"/>
            <w:noWrap/>
            <w:vAlign w:val="bottom"/>
            <w:hideMark/>
          </w:tcPr>
          <w:p w14:paraId="68071B36"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72</w:t>
            </w:r>
          </w:p>
        </w:tc>
        <w:tc>
          <w:tcPr>
            <w:tcW w:w="1622" w:type="dxa"/>
            <w:shd w:val="clear" w:color="auto" w:fill="auto"/>
            <w:noWrap/>
            <w:vAlign w:val="bottom"/>
            <w:hideMark/>
          </w:tcPr>
          <w:p w14:paraId="73ABC5D9"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1,5</w:t>
            </w:r>
          </w:p>
        </w:tc>
        <w:tc>
          <w:tcPr>
            <w:tcW w:w="3577" w:type="dxa"/>
            <w:shd w:val="clear" w:color="auto" w:fill="auto"/>
            <w:noWrap/>
            <w:vAlign w:val="bottom"/>
            <w:hideMark/>
          </w:tcPr>
          <w:p w14:paraId="1FD210DE"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18.818</w:t>
            </w:r>
          </w:p>
        </w:tc>
      </w:tr>
      <w:tr w:rsidR="00AB73F4" w:rsidRPr="00CF5EC6" w14:paraId="67D89D87" w14:textId="77777777" w:rsidTr="00045027">
        <w:trPr>
          <w:trHeight w:val="276"/>
        </w:trPr>
        <w:tc>
          <w:tcPr>
            <w:tcW w:w="1605" w:type="dxa"/>
            <w:shd w:val="clear" w:color="auto" w:fill="auto"/>
            <w:noWrap/>
            <w:vAlign w:val="bottom"/>
            <w:hideMark/>
          </w:tcPr>
          <w:p w14:paraId="50CEB43A"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73</w:t>
            </w:r>
          </w:p>
        </w:tc>
        <w:tc>
          <w:tcPr>
            <w:tcW w:w="1622" w:type="dxa"/>
            <w:shd w:val="clear" w:color="auto" w:fill="auto"/>
            <w:noWrap/>
            <w:vAlign w:val="bottom"/>
            <w:hideMark/>
          </w:tcPr>
          <w:p w14:paraId="24E4E791"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1,7</w:t>
            </w:r>
          </w:p>
        </w:tc>
        <w:tc>
          <w:tcPr>
            <w:tcW w:w="3577" w:type="dxa"/>
            <w:shd w:val="clear" w:color="auto" w:fill="auto"/>
            <w:noWrap/>
            <w:vAlign w:val="bottom"/>
            <w:hideMark/>
          </w:tcPr>
          <w:p w14:paraId="7C947EFD"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21.408</w:t>
            </w:r>
          </w:p>
        </w:tc>
      </w:tr>
      <w:tr w:rsidR="00AB73F4" w:rsidRPr="00CF5EC6" w14:paraId="78B92DE1" w14:textId="77777777" w:rsidTr="00045027">
        <w:trPr>
          <w:trHeight w:val="276"/>
        </w:trPr>
        <w:tc>
          <w:tcPr>
            <w:tcW w:w="1605" w:type="dxa"/>
            <w:shd w:val="clear" w:color="auto" w:fill="auto"/>
            <w:noWrap/>
            <w:vAlign w:val="bottom"/>
            <w:hideMark/>
          </w:tcPr>
          <w:p w14:paraId="7C203A5A"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74</w:t>
            </w:r>
          </w:p>
        </w:tc>
        <w:tc>
          <w:tcPr>
            <w:tcW w:w="1622" w:type="dxa"/>
            <w:shd w:val="clear" w:color="auto" w:fill="auto"/>
            <w:noWrap/>
            <w:vAlign w:val="bottom"/>
            <w:hideMark/>
          </w:tcPr>
          <w:p w14:paraId="7B6B87A0"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1,9</w:t>
            </w:r>
          </w:p>
        </w:tc>
        <w:tc>
          <w:tcPr>
            <w:tcW w:w="3577" w:type="dxa"/>
            <w:shd w:val="clear" w:color="auto" w:fill="auto"/>
            <w:noWrap/>
            <w:vAlign w:val="bottom"/>
            <w:hideMark/>
          </w:tcPr>
          <w:p w14:paraId="673F0BEB"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24.961</w:t>
            </w:r>
          </w:p>
        </w:tc>
      </w:tr>
      <w:tr w:rsidR="00AB73F4" w:rsidRPr="00CF5EC6" w14:paraId="740D1EA1" w14:textId="77777777" w:rsidTr="00045027">
        <w:trPr>
          <w:trHeight w:val="276"/>
        </w:trPr>
        <w:tc>
          <w:tcPr>
            <w:tcW w:w="1605" w:type="dxa"/>
            <w:shd w:val="clear" w:color="auto" w:fill="auto"/>
            <w:noWrap/>
            <w:vAlign w:val="bottom"/>
            <w:hideMark/>
          </w:tcPr>
          <w:p w14:paraId="73220613"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75</w:t>
            </w:r>
          </w:p>
        </w:tc>
        <w:tc>
          <w:tcPr>
            <w:tcW w:w="1622" w:type="dxa"/>
            <w:shd w:val="clear" w:color="auto" w:fill="auto"/>
            <w:noWrap/>
            <w:vAlign w:val="bottom"/>
            <w:hideMark/>
          </w:tcPr>
          <w:p w14:paraId="7B4FF21F"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2,1</w:t>
            </w:r>
          </w:p>
        </w:tc>
        <w:tc>
          <w:tcPr>
            <w:tcW w:w="3577" w:type="dxa"/>
            <w:shd w:val="clear" w:color="auto" w:fill="auto"/>
            <w:noWrap/>
            <w:vAlign w:val="bottom"/>
            <w:hideMark/>
          </w:tcPr>
          <w:p w14:paraId="45088CC4"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26.765</w:t>
            </w:r>
          </w:p>
        </w:tc>
      </w:tr>
      <w:tr w:rsidR="00AB73F4" w:rsidRPr="00CF5EC6" w14:paraId="7E526CB0" w14:textId="77777777" w:rsidTr="00045027">
        <w:trPr>
          <w:trHeight w:val="276"/>
        </w:trPr>
        <w:tc>
          <w:tcPr>
            <w:tcW w:w="1605" w:type="dxa"/>
            <w:shd w:val="clear" w:color="auto" w:fill="auto"/>
            <w:noWrap/>
            <w:vAlign w:val="bottom"/>
            <w:hideMark/>
          </w:tcPr>
          <w:p w14:paraId="365D081D"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76</w:t>
            </w:r>
          </w:p>
        </w:tc>
        <w:tc>
          <w:tcPr>
            <w:tcW w:w="1622" w:type="dxa"/>
            <w:shd w:val="clear" w:color="auto" w:fill="auto"/>
            <w:noWrap/>
            <w:vAlign w:val="bottom"/>
            <w:hideMark/>
          </w:tcPr>
          <w:p w14:paraId="2A0D23AB"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2,4</w:t>
            </w:r>
          </w:p>
        </w:tc>
        <w:tc>
          <w:tcPr>
            <w:tcW w:w="3577" w:type="dxa"/>
            <w:shd w:val="clear" w:color="auto" w:fill="auto"/>
            <w:noWrap/>
            <w:vAlign w:val="bottom"/>
            <w:hideMark/>
          </w:tcPr>
          <w:p w14:paraId="551E1682"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30.993</w:t>
            </w:r>
          </w:p>
        </w:tc>
      </w:tr>
      <w:tr w:rsidR="00AB73F4" w:rsidRPr="00CF5EC6" w14:paraId="3E75AEEC" w14:textId="77777777" w:rsidTr="00045027">
        <w:trPr>
          <w:trHeight w:val="276"/>
        </w:trPr>
        <w:tc>
          <w:tcPr>
            <w:tcW w:w="1605" w:type="dxa"/>
            <w:shd w:val="clear" w:color="auto" w:fill="auto"/>
            <w:noWrap/>
            <w:vAlign w:val="bottom"/>
            <w:hideMark/>
          </w:tcPr>
          <w:p w14:paraId="3B20989E"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77</w:t>
            </w:r>
          </w:p>
        </w:tc>
        <w:tc>
          <w:tcPr>
            <w:tcW w:w="1622" w:type="dxa"/>
            <w:shd w:val="clear" w:color="auto" w:fill="auto"/>
            <w:noWrap/>
            <w:vAlign w:val="bottom"/>
            <w:hideMark/>
          </w:tcPr>
          <w:p w14:paraId="6C8BC8D3"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2,8</w:t>
            </w:r>
          </w:p>
        </w:tc>
        <w:tc>
          <w:tcPr>
            <w:tcW w:w="3577" w:type="dxa"/>
            <w:shd w:val="clear" w:color="auto" w:fill="auto"/>
            <w:noWrap/>
            <w:vAlign w:val="bottom"/>
            <w:hideMark/>
          </w:tcPr>
          <w:p w14:paraId="49A44847"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36.147</w:t>
            </w:r>
          </w:p>
        </w:tc>
      </w:tr>
      <w:tr w:rsidR="00AB73F4" w:rsidRPr="00CF5EC6" w14:paraId="5F2D07B6" w14:textId="77777777" w:rsidTr="00045027">
        <w:trPr>
          <w:trHeight w:val="276"/>
        </w:trPr>
        <w:tc>
          <w:tcPr>
            <w:tcW w:w="1605" w:type="dxa"/>
            <w:shd w:val="clear" w:color="auto" w:fill="auto"/>
            <w:noWrap/>
            <w:vAlign w:val="bottom"/>
            <w:hideMark/>
          </w:tcPr>
          <w:p w14:paraId="43C4797D"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78</w:t>
            </w:r>
          </w:p>
        </w:tc>
        <w:tc>
          <w:tcPr>
            <w:tcW w:w="1622" w:type="dxa"/>
            <w:shd w:val="clear" w:color="auto" w:fill="auto"/>
            <w:noWrap/>
            <w:vAlign w:val="bottom"/>
            <w:hideMark/>
          </w:tcPr>
          <w:p w14:paraId="63757D82"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3,1</w:t>
            </w:r>
          </w:p>
        </w:tc>
        <w:tc>
          <w:tcPr>
            <w:tcW w:w="3577" w:type="dxa"/>
            <w:shd w:val="clear" w:color="auto" w:fill="auto"/>
            <w:noWrap/>
            <w:vAlign w:val="bottom"/>
            <w:hideMark/>
          </w:tcPr>
          <w:p w14:paraId="2D5CE0E9"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39.203</w:t>
            </w:r>
          </w:p>
        </w:tc>
      </w:tr>
      <w:tr w:rsidR="00AB73F4" w:rsidRPr="00CF5EC6" w14:paraId="7A19EE3C" w14:textId="77777777" w:rsidTr="00045027">
        <w:trPr>
          <w:trHeight w:val="276"/>
        </w:trPr>
        <w:tc>
          <w:tcPr>
            <w:tcW w:w="1605" w:type="dxa"/>
            <w:shd w:val="clear" w:color="auto" w:fill="auto"/>
            <w:noWrap/>
            <w:vAlign w:val="bottom"/>
            <w:hideMark/>
          </w:tcPr>
          <w:p w14:paraId="5D8DAC61"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79</w:t>
            </w:r>
          </w:p>
        </w:tc>
        <w:tc>
          <w:tcPr>
            <w:tcW w:w="1622" w:type="dxa"/>
            <w:shd w:val="clear" w:color="auto" w:fill="auto"/>
            <w:noWrap/>
            <w:vAlign w:val="bottom"/>
            <w:hideMark/>
          </w:tcPr>
          <w:p w14:paraId="1F1AE839"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3,6</w:t>
            </w:r>
          </w:p>
        </w:tc>
        <w:tc>
          <w:tcPr>
            <w:tcW w:w="3577" w:type="dxa"/>
            <w:shd w:val="clear" w:color="auto" w:fill="auto"/>
            <w:noWrap/>
            <w:vAlign w:val="bottom"/>
            <w:hideMark/>
          </w:tcPr>
          <w:p w14:paraId="664B8428"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45.720</w:t>
            </w:r>
          </w:p>
        </w:tc>
      </w:tr>
      <w:tr w:rsidR="00AB73F4" w:rsidRPr="00CF5EC6" w14:paraId="648777D2" w14:textId="77777777" w:rsidTr="00045027">
        <w:trPr>
          <w:trHeight w:val="276"/>
        </w:trPr>
        <w:tc>
          <w:tcPr>
            <w:tcW w:w="1605" w:type="dxa"/>
            <w:shd w:val="clear" w:color="auto" w:fill="auto"/>
            <w:noWrap/>
            <w:vAlign w:val="bottom"/>
            <w:hideMark/>
          </w:tcPr>
          <w:p w14:paraId="4FD56FBA"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80</w:t>
            </w:r>
          </w:p>
        </w:tc>
        <w:tc>
          <w:tcPr>
            <w:tcW w:w="1622" w:type="dxa"/>
            <w:shd w:val="clear" w:color="auto" w:fill="auto"/>
            <w:noWrap/>
            <w:vAlign w:val="bottom"/>
            <w:hideMark/>
          </w:tcPr>
          <w:p w14:paraId="4A2C1D31"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4,3</w:t>
            </w:r>
          </w:p>
        </w:tc>
        <w:tc>
          <w:tcPr>
            <w:tcW w:w="3577" w:type="dxa"/>
            <w:shd w:val="clear" w:color="auto" w:fill="auto"/>
            <w:noWrap/>
            <w:vAlign w:val="bottom"/>
            <w:hideMark/>
          </w:tcPr>
          <w:p w14:paraId="1968CCDA"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54.562</w:t>
            </w:r>
          </w:p>
        </w:tc>
      </w:tr>
      <w:tr w:rsidR="00AB73F4" w:rsidRPr="00CF5EC6" w14:paraId="04EAB11A" w14:textId="77777777" w:rsidTr="00045027">
        <w:trPr>
          <w:trHeight w:val="276"/>
        </w:trPr>
        <w:tc>
          <w:tcPr>
            <w:tcW w:w="1605" w:type="dxa"/>
            <w:shd w:val="clear" w:color="auto" w:fill="auto"/>
            <w:noWrap/>
            <w:vAlign w:val="bottom"/>
            <w:hideMark/>
          </w:tcPr>
          <w:p w14:paraId="3C0CAF12"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81</w:t>
            </w:r>
          </w:p>
        </w:tc>
        <w:tc>
          <w:tcPr>
            <w:tcW w:w="1622" w:type="dxa"/>
            <w:shd w:val="clear" w:color="auto" w:fill="auto"/>
            <w:noWrap/>
            <w:vAlign w:val="bottom"/>
            <w:hideMark/>
          </w:tcPr>
          <w:p w14:paraId="4DA52213"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4,5</w:t>
            </w:r>
          </w:p>
        </w:tc>
        <w:tc>
          <w:tcPr>
            <w:tcW w:w="3577" w:type="dxa"/>
            <w:shd w:val="clear" w:color="auto" w:fill="auto"/>
            <w:noWrap/>
            <w:vAlign w:val="bottom"/>
            <w:hideMark/>
          </w:tcPr>
          <w:p w14:paraId="53191941"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58.149</w:t>
            </w:r>
          </w:p>
        </w:tc>
      </w:tr>
      <w:tr w:rsidR="00AB73F4" w:rsidRPr="00CF5EC6" w14:paraId="52C1EE47" w14:textId="77777777" w:rsidTr="00045027">
        <w:trPr>
          <w:trHeight w:val="276"/>
        </w:trPr>
        <w:tc>
          <w:tcPr>
            <w:tcW w:w="1605" w:type="dxa"/>
            <w:shd w:val="clear" w:color="auto" w:fill="auto"/>
            <w:noWrap/>
            <w:vAlign w:val="bottom"/>
            <w:hideMark/>
          </w:tcPr>
          <w:p w14:paraId="3A98E7CB"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82</w:t>
            </w:r>
          </w:p>
        </w:tc>
        <w:tc>
          <w:tcPr>
            <w:tcW w:w="1622" w:type="dxa"/>
            <w:shd w:val="clear" w:color="auto" w:fill="auto"/>
            <w:noWrap/>
            <w:vAlign w:val="bottom"/>
            <w:hideMark/>
          </w:tcPr>
          <w:p w14:paraId="17013D2D"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5,3</w:t>
            </w:r>
          </w:p>
        </w:tc>
        <w:tc>
          <w:tcPr>
            <w:tcW w:w="3577" w:type="dxa"/>
            <w:shd w:val="clear" w:color="auto" w:fill="auto"/>
            <w:noWrap/>
            <w:vAlign w:val="bottom"/>
            <w:hideMark/>
          </w:tcPr>
          <w:p w14:paraId="2594A670"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68.282</w:t>
            </w:r>
          </w:p>
        </w:tc>
      </w:tr>
      <w:tr w:rsidR="00AB73F4" w:rsidRPr="00CF5EC6" w14:paraId="6DF9A0B6" w14:textId="77777777" w:rsidTr="00045027">
        <w:trPr>
          <w:trHeight w:val="276"/>
        </w:trPr>
        <w:tc>
          <w:tcPr>
            <w:tcW w:w="1605" w:type="dxa"/>
            <w:shd w:val="clear" w:color="auto" w:fill="auto"/>
            <w:noWrap/>
            <w:vAlign w:val="bottom"/>
            <w:hideMark/>
          </w:tcPr>
          <w:p w14:paraId="74DF0097"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83</w:t>
            </w:r>
          </w:p>
        </w:tc>
        <w:tc>
          <w:tcPr>
            <w:tcW w:w="1622" w:type="dxa"/>
            <w:shd w:val="clear" w:color="auto" w:fill="auto"/>
            <w:noWrap/>
            <w:vAlign w:val="bottom"/>
            <w:hideMark/>
          </w:tcPr>
          <w:p w14:paraId="2A26A927"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6,4</w:t>
            </w:r>
          </w:p>
        </w:tc>
        <w:tc>
          <w:tcPr>
            <w:tcW w:w="3577" w:type="dxa"/>
            <w:shd w:val="clear" w:color="auto" w:fill="auto"/>
            <w:noWrap/>
            <w:vAlign w:val="bottom"/>
            <w:hideMark/>
          </w:tcPr>
          <w:p w14:paraId="2834003B"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81.794</w:t>
            </w:r>
          </w:p>
        </w:tc>
      </w:tr>
      <w:tr w:rsidR="00AB73F4" w:rsidRPr="00CF5EC6" w14:paraId="70ADB030" w14:textId="77777777" w:rsidTr="00045027">
        <w:trPr>
          <w:trHeight w:val="276"/>
        </w:trPr>
        <w:tc>
          <w:tcPr>
            <w:tcW w:w="1605" w:type="dxa"/>
            <w:shd w:val="clear" w:color="auto" w:fill="auto"/>
            <w:noWrap/>
            <w:vAlign w:val="bottom"/>
            <w:hideMark/>
          </w:tcPr>
          <w:p w14:paraId="1C9758AF"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84</w:t>
            </w:r>
          </w:p>
        </w:tc>
        <w:tc>
          <w:tcPr>
            <w:tcW w:w="1622" w:type="dxa"/>
            <w:shd w:val="clear" w:color="auto" w:fill="auto"/>
            <w:noWrap/>
            <w:vAlign w:val="bottom"/>
            <w:hideMark/>
          </w:tcPr>
          <w:p w14:paraId="75320112"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7,3</w:t>
            </w:r>
          </w:p>
        </w:tc>
        <w:tc>
          <w:tcPr>
            <w:tcW w:w="3577" w:type="dxa"/>
            <w:shd w:val="clear" w:color="auto" w:fill="auto"/>
            <w:noWrap/>
            <w:vAlign w:val="bottom"/>
            <w:hideMark/>
          </w:tcPr>
          <w:p w14:paraId="1A600507"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93.888</w:t>
            </w:r>
          </w:p>
        </w:tc>
      </w:tr>
      <w:tr w:rsidR="00AB73F4" w:rsidRPr="00CF5EC6" w14:paraId="306B8437" w14:textId="77777777" w:rsidTr="00045027">
        <w:trPr>
          <w:trHeight w:val="276"/>
        </w:trPr>
        <w:tc>
          <w:tcPr>
            <w:tcW w:w="1605" w:type="dxa"/>
            <w:shd w:val="clear" w:color="auto" w:fill="auto"/>
            <w:noWrap/>
            <w:vAlign w:val="bottom"/>
            <w:hideMark/>
          </w:tcPr>
          <w:p w14:paraId="524D08B0"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85</w:t>
            </w:r>
          </w:p>
        </w:tc>
        <w:tc>
          <w:tcPr>
            <w:tcW w:w="1622" w:type="dxa"/>
            <w:shd w:val="clear" w:color="auto" w:fill="auto"/>
            <w:noWrap/>
            <w:vAlign w:val="bottom"/>
            <w:hideMark/>
          </w:tcPr>
          <w:p w14:paraId="70532D76"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8,1</w:t>
            </w:r>
          </w:p>
        </w:tc>
        <w:tc>
          <w:tcPr>
            <w:tcW w:w="3577" w:type="dxa"/>
            <w:shd w:val="clear" w:color="auto" w:fill="auto"/>
            <w:noWrap/>
            <w:vAlign w:val="bottom"/>
            <w:hideMark/>
          </w:tcPr>
          <w:p w14:paraId="42040CCA"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104.285</w:t>
            </w:r>
          </w:p>
        </w:tc>
      </w:tr>
      <w:tr w:rsidR="00AB73F4" w:rsidRPr="00CF5EC6" w14:paraId="5DACCB83" w14:textId="77777777" w:rsidTr="00045027">
        <w:trPr>
          <w:trHeight w:val="276"/>
        </w:trPr>
        <w:tc>
          <w:tcPr>
            <w:tcW w:w="1605" w:type="dxa"/>
            <w:shd w:val="clear" w:color="auto" w:fill="auto"/>
            <w:noWrap/>
            <w:vAlign w:val="bottom"/>
            <w:hideMark/>
          </w:tcPr>
          <w:p w14:paraId="27BBFBDD"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86</w:t>
            </w:r>
          </w:p>
        </w:tc>
        <w:tc>
          <w:tcPr>
            <w:tcW w:w="1622" w:type="dxa"/>
            <w:shd w:val="clear" w:color="auto" w:fill="auto"/>
            <w:noWrap/>
            <w:vAlign w:val="bottom"/>
            <w:hideMark/>
          </w:tcPr>
          <w:p w14:paraId="71BA0481"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8,4</w:t>
            </w:r>
          </w:p>
        </w:tc>
        <w:tc>
          <w:tcPr>
            <w:tcW w:w="3577" w:type="dxa"/>
            <w:shd w:val="clear" w:color="auto" w:fill="auto"/>
            <w:noWrap/>
            <w:vAlign w:val="bottom"/>
            <w:hideMark/>
          </w:tcPr>
          <w:p w14:paraId="084BC40D"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107.532</w:t>
            </w:r>
          </w:p>
        </w:tc>
      </w:tr>
      <w:tr w:rsidR="00AB73F4" w:rsidRPr="00CF5EC6" w14:paraId="3AF81303" w14:textId="77777777" w:rsidTr="00045027">
        <w:trPr>
          <w:trHeight w:val="276"/>
        </w:trPr>
        <w:tc>
          <w:tcPr>
            <w:tcW w:w="1605" w:type="dxa"/>
            <w:shd w:val="clear" w:color="auto" w:fill="auto"/>
            <w:noWrap/>
            <w:vAlign w:val="bottom"/>
            <w:hideMark/>
          </w:tcPr>
          <w:p w14:paraId="4908418C"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87</w:t>
            </w:r>
          </w:p>
        </w:tc>
        <w:tc>
          <w:tcPr>
            <w:tcW w:w="1622" w:type="dxa"/>
            <w:shd w:val="clear" w:color="auto" w:fill="auto"/>
            <w:noWrap/>
            <w:vAlign w:val="bottom"/>
            <w:hideMark/>
          </w:tcPr>
          <w:p w14:paraId="5CC77358"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9,8</w:t>
            </w:r>
          </w:p>
        </w:tc>
        <w:tc>
          <w:tcPr>
            <w:tcW w:w="3577" w:type="dxa"/>
            <w:shd w:val="clear" w:color="auto" w:fill="auto"/>
            <w:noWrap/>
            <w:vAlign w:val="bottom"/>
            <w:hideMark/>
          </w:tcPr>
          <w:p w14:paraId="6AA0EEDA"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125.705</w:t>
            </w:r>
          </w:p>
        </w:tc>
      </w:tr>
      <w:tr w:rsidR="00AB73F4" w:rsidRPr="00CF5EC6" w14:paraId="11761621" w14:textId="77777777" w:rsidTr="00045027">
        <w:trPr>
          <w:trHeight w:val="276"/>
        </w:trPr>
        <w:tc>
          <w:tcPr>
            <w:tcW w:w="1605" w:type="dxa"/>
            <w:shd w:val="clear" w:color="auto" w:fill="auto"/>
            <w:noWrap/>
            <w:vAlign w:val="bottom"/>
            <w:hideMark/>
          </w:tcPr>
          <w:p w14:paraId="59FE308E"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88</w:t>
            </w:r>
          </w:p>
        </w:tc>
        <w:tc>
          <w:tcPr>
            <w:tcW w:w="1622" w:type="dxa"/>
            <w:shd w:val="clear" w:color="auto" w:fill="auto"/>
            <w:noWrap/>
            <w:vAlign w:val="bottom"/>
            <w:hideMark/>
          </w:tcPr>
          <w:p w14:paraId="0799A8F5"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10,7</w:t>
            </w:r>
          </w:p>
        </w:tc>
        <w:tc>
          <w:tcPr>
            <w:tcW w:w="3577" w:type="dxa"/>
            <w:shd w:val="clear" w:color="auto" w:fill="auto"/>
            <w:noWrap/>
            <w:vAlign w:val="bottom"/>
            <w:hideMark/>
          </w:tcPr>
          <w:p w14:paraId="2CF36BAA"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136.709</w:t>
            </w:r>
          </w:p>
        </w:tc>
      </w:tr>
      <w:tr w:rsidR="00AB73F4" w:rsidRPr="00CF5EC6" w14:paraId="11125C43" w14:textId="77777777" w:rsidTr="00045027">
        <w:trPr>
          <w:trHeight w:val="276"/>
        </w:trPr>
        <w:tc>
          <w:tcPr>
            <w:tcW w:w="1605" w:type="dxa"/>
            <w:shd w:val="clear" w:color="auto" w:fill="auto"/>
            <w:noWrap/>
            <w:vAlign w:val="bottom"/>
            <w:hideMark/>
          </w:tcPr>
          <w:p w14:paraId="7A3B9A65"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89</w:t>
            </w:r>
          </w:p>
        </w:tc>
        <w:tc>
          <w:tcPr>
            <w:tcW w:w="1622" w:type="dxa"/>
            <w:shd w:val="clear" w:color="auto" w:fill="auto"/>
            <w:noWrap/>
            <w:vAlign w:val="bottom"/>
            <w:hideMark/>
          </w:tcPr>
          <w:p w14:paraId="5B9F0D8D"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11,7</w:t>
            </w:r>
          </w:p>
        </w:tc>
        <w:tc>
          <w:tcPr>
            <w:tcW w:w="3577" w:type="dxa"/>
            <w:shd w:val="clear" w:color="auto" w:fill="auto"/>
            <w:noWrap/>
            <w:vAlign w:val="bottom"/>
            <w:hideMark/>
          </w:tcPr>
          <w:p w14:paraId="7FD7B39C"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150.187</w:t>
            </w:r>
          </w:p>
        </w:tc>
      </w:tr>
      <w:tr w:rsidR="00AB73F4" w:rsidRPr="00CF5EC6" w14:paraId="60C3D674" w14:textId="77777777" w:rsidTr="00045027">
        <w:trPr>
          <w:trHeight w:val="276"/>
        </w:trPr>
        <w:tc>
          <w:tcPr>
            <w:tcW w:w="1605" w:type="dxa"/>
            <w:shd w:val="clear" w:color="auto" w:fill="auto"/>
            <w:noWrap/>
            <w:vAlign w:val="bottom"/>
            <w:hideMark/>
          </w:tcPr>
          <w:p w14:paraId="086A4219"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90</w:t>
            </w:r>
          </w:p>
        </w:tc>
        <w:tc>
          <w:tcPr>
            <w:tcW w:w="1622" w:type="dxa"/>
            <w:shd w:val="clear" w:color="auto" w:fill="auto"/>
            <w:noWrap/>
            <w:vAlign w:val="bottom"/>
            <w:hideMark/>
          </w:tcPr>
          <w:p w14:paraId="6F765EB2"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13,0</w:t>
            </w:r>
          </w:p>
        </w:tc>
        <w:tc>
          <w:tcPr>
            <w:tcW w:w="3577" w:type="dxa"/>
            <w:shd w:val="clear" w:color="auto" w:fill="auto"/>
            <w:noWrap/>
            <w:vAlign w:val="bottom"/>
            <w:hideMark/>
          </w:tcPr>
          <w:p w14:paraId="2B1BB38C"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167.333</w:t>
            </w:r>
          </w:p>
        </w:tc>
      </w:tr>
      <w:tr w:rsidR="00AB73F4" w:rsidRPr="00CF5EC6" w14:paraId="3584CD01" w14:textId="77777777" w:rsidTr="00045027">
        <w:trPr>
          <w:trHeight w:val="276"/>
        </w:trPr>
        <w:tc>
          <w:tcPr>
            <w:tcW w:w="1605" w:type="dxa"/>
            <w:shd w:val="clear" w:color="auto" w:fill="auto"/>
            <w:noWrap/>
            <w:vAlign w:val="bottom"/>
            <w:hideMark/>
          </w:tcPr>
          <w:p w14:paraId="5406FCC0"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91</w:t>
            </w:r>
          </w:p>
        </w:tc>
        <w:tc>
          <w:tcPr>
            <w:tcW w:w="1622" w:type="dxa"/>
            <w:shd w:val="clear" w:color="auto" w:fill="auto"/>
            <w:noWrap/>
            <w:vAlign w:val="bottom"/>
            <w:hideMark/>
          </w:tcPr>
          <w:p w14:paraId="2B1B3F12"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14,2</w:t>
            </w:r>
          </w:p>
        </w:tc>
        <w:tc>
          <w:tcPr>
            <w:tcW w:w="3577" w:type="dxa"/>
            <w:shd w:val="clear" w:color="auto" w:fill="auto"/>
            <w:noWrap/>
            <w:vAlign w:val="bottom"/>
            <w:hideMark/>
          </w:tcPr>
          <w:p w14:paraId="4F4F6FE7"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182.623</w:t>
            </w:r>
          </w:p>
        </w:tc>
      </w:tr>
      <w:tr w:rsidR="00AB73F4" w:rsidRPr="00CF5EC6" w14:paraId="6F6B2226" w14:textId="77777777" w:rsidTr="00045027">
        <w:trPr>
          <w:trHeight w:val="276"/>
        </w:trPr>
        <w:tc>
          <w:tcPr>
            <w:tcW w:w="1605" w:type="dxa"/>
            <w:shd w:val="clear" w:color="auto" w:fill="auto"/>
            <w:noWrap/>
            <w:vAlign w:val="bottom"/>
            <w:hideMark/>
          </w:tcPr>
          <w:p w14:paraId="42B98245"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92</w:t>
            </w:r>
          </w:p>
        </w:tc>
        <w:tc>
          <w:tcPr>
            <w:tcW w:w="1622" w:type="dxa"/>
            <w:shd w:val="clear" w:color="auto" w:fill="auto"/>
            <w:noWrap/>
            <w:vAlign w:val="bottom"/>
            <w:hideMark/>
          </w:tcPr>
          <w:p w14:paraId="61C761EA"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15,4</w:t>
            </w:r>
          </w:p>
        </w:tc>
        <w:tc>
          <w:tcPr>
            <w:tcW w:w="3577" w:type="dxa"/>
            <w:shd w:val="clear" w:color="auto" w:fill="auto"/>
            <w:noWrap/>
            <w:vAlign w:val="bottom"/>
            <w:hideMark/>
          </w:tcPr>
          <w:p w14:paraId="39042779"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197.180</w:t>
            </w:r>
          </w:p>
        </w:tc>
      </w:tr>
      <w:tr w:rsidR="00AB73F4" w:rsidRPr="00CF5EC6" w14:paraId="77F9C63C" w14:textId="77777777" w:rsidTr="00045027">
        <w:trPr>
          <w:trHeight w:val="276"/>
        </w:trPr>
        <w:tc>
          <w:tcPr>
            <w:tcW w:w="1605" w:type="dxa"/>
            <w:shd w:val="clear" w:color="auto" w:fill="auto"/>
            <w:noWrap/>
            <w:vAlign w:val="bottom"/>
            <w:hideMark/>
          </w:tcPr>
          <w:p w14:paraId="7C09F9CC"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93</w:t>
            </w:r>
          </w:p>
        </w:tc>
        <w:tc>
          <w:tcPr>
            <w:tcW w:w="1622" w:type="dxa"/>
            <w:shd w:val="clear" w:color="auto" w:fill="auto"/>
            <w:noWrap/>
            <w:vAlign w:val="bottom"/>
            <w:hideMark/>
          </w:tcPr>
          <w:p w14:paraId="25C0F9D4"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16,5</w:t>
            </w:r>
          </w:p>
        </w:tc>
        <w:tc>
          <w:tcPr>
            <w:tcW w:w="3577" w:type="dxa"/>
            <w:shd w:val="clear" w:color="auto" w:fill="auto"/>
            <w:noWrap/>
            <w:vAlign w:val="bottom"/>
            <w:hideMark/>
          </w:tcPr>
          <w:p w14:paraId="773CF116"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211.957</w:t>
            </w:r>
          </w:p>
        </w:tc>
      </w:tr>
      <w:tr w:rsidR="00AB73F4" w:rsidRPr="00CF5EC6" w14:paraId="70DBF075" w14:textId="77777777" w:rsidTr="00045027">
        <w:trPr>
          <w:trHeight w:val="276"/>
        </w:trPr>
        <w:tc>
          <w:tcPr>
            <w:tcW w:w="1605" w:type="dxa"/>
            <w:shd w:val="clear" w:color="auto" w:fill="auto"/>
            <w:noWrap/>
            <w:vAlign w:val="bottom"/>
            <w:hideMark/>
          </w:tcPr>
          <w:p w14:paraId="4436E5B5"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94</w:t>
            </w:r>
          </w:p>
        </w:tc>
        <w:tc>
          <w:tcPr>
            <w:tcW w:w="1622" w:type="dxa"/>
            <w:shd w:val="clear" w:color="auto" w:fill="auto"/>
            <w:noWrap/>
            <w:vAlign w:val="bottom"/>
            <w:hideMark/>
          </w:tcPr>
          <w:p w14:paraId="0917189D"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18,1</w:t>
            </w:r>
          </w:p>
        </w:tc>
        <w:tc>
          <w:tcPr>
            <w:tcW w:w="3577" w:type="dxa"/>
            <w:shd w:val="clear" w:color="auto" w:fill="auto"/>
            <w:noWrap/>
            <w:vAlign w:val="bottom"/>
            <w:hideMark/>
          </w:tcPr>
          <w:p w14:paraId="5617F9EE"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232.316</w:t>
            </w:r>
          </w:p>
        </w:tc>
      </w:tr>
      <w:tr w:rsidR="00AB73F4" w:rsidRPr="00CF5EC6" w14:paraId="3F358C05" w14:textId="77777777" w:rsidTr="00045027">
        <w:trPr>
          <w:trHeight w:val="276"/>
        </w:trPr>
        <w:tc>
          <w:tcPr>
            <w:tcW w:w="1605" w:type="dxa"/>
            <w:shd w:val="clear" w:color="auto" w:fill="auto"/>
            <w:noWrap/>
            <w:vAlign w:val="bottom"/>
            <w:hideMark/>
          </w:tcPr>
          <w:p w14:paraId="40A49FE8"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95</w:t>
            </w:r>
          </w:p>
        </w:tc>
        <w:tc>
          <w:tcPr>
            <w:tcW w:w="1622" w:type="dxa"/>
            <w:shd w:val="clear" w:color="auto" w:fill="auto"/>
            <w:noWrap/>
            <w:vAlign w:val="bottom"/>
            <w:hideMark/>
          </w:tcPr>
          <w:p w14:paraId="0697543D"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17,6</w:t>
            </w:r>
          </w:p>
        </w:tc>
        <w:tc>
          <w:tcPr>
            <w:tcW w:w="3577" w:type="dxa"/>
            <w:shd w:val="clear" w:color="auto" w:fill="auto"/>
            <w:noWrap/>
            <w:vAlign w:val="bottom"/>
            <w:hideMark/>
          </w:tcPr>
          <w:p w14:paraId="76874A2D"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225.664</w:t>
            </w:r>
          </w:p>
        </w:tc>
      </w:tr>
      <w:tr w:rsidR="00AB73F4" w:rsidRPr="00CF5EC6" w14:paraId="49FAE9E9" w14:textId="77777777" w:rsidTr="00045027">
        <w:trPr>
          <w:trHeight w:val="276"/>
        </w:trPr>
        <w:tc>
          <w:tcPr>
            <w:tcW w:w="1605" w:type="dxa"/>
            <w:shd w:val="clear" w:color="auto" w:fill="auto"/>
            <w:noWrap/>
            <w:vAlign w:val="bottom"/>
            <w:hideMark/>
          </w:tcPr>
          <w:p w14:paraId="04497669"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96</w:t>
            </w:r>
          </w:p>
        </w:tc>
        <w:tc>
          <w:tcPr>
            <w:tcW w:w="1622" w:type="dxa"/>
            <w:shd w:val="clear" w:color="auto" w:fill="auto"/>
            <w:noWrap/>
            <w:vAlign w:val="bottom"/>
            <w:hideMark/>
          </w:tcPr>
          <w:p w14:paraId="11503E6A"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18,8</w:t>
            </w:r>
          </w:p>
        </w:tc>
        <w:tc>
          <w:tcPr>
            <w:tcW w:w="3577" w:type="dxa"/>
            <w:shd w:val="clear" w:color="auto" w:fill="auto"/>
            <w:noWrap/>
            <w:vAlign w:val="bottom"/>
            <w:hideMark/>
          </w:tcPr>
          <w:p w14:paraId="4E7718B0"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240.976</w:t>
            </w:r>
          </w:p>
        </w:tc>
      </w:tr>
      <w:tr w:rsidR="00AB73F4" w:rsidRPr="00CF5EC6" w14:paraId="09E26D6C" w14:textId="77777777" w:rsidTr="00045027">
        <w:trPr>
          <w:trHeight w:val="276"/>
        </w:trPr>
        <w:tc>
          <w:tcPr>
            <w:tcW w:w="1605" w:type="dxa"/>
            <w:shd w:val="clear" w:color="auto" w:fill="auto"/>
            <w:noWrap/>
            <w:vAlign w:val="bottom"/>
            <w:hideMark/>
          </w:tcPr>
          <w:p w14:paraId="39EC5E8B"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97</w:t>
            </w:r>
          </w:p>
        </w:tc>
        <w:tc>
          <w:tcPr>
            <w:tcW w:w="1622" w:type="dxa"/>
            <w:shd w:val="clear" w:color="auto" w:fill="auto"/>
            <w:noWrap/>
            <w:vAlign w:val="bottom"/>
            <w:hideMark/>
          </w:tcPr>
          <w:p w14:paraId="3BF3DE9A"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19,7</w:t>
            </w:r>
          </w:p>
        </w:tc>
        <w:tc>
          <w:tcPr>
            <w:tcW w:w="3577" w:type="dxa"/>
            <w:shd w:val="clear" w:color="auto" w:fill="auto"/>
            <w:noWrap/>
            <w:vAlign w:val="bottom"/>
            <w:hideMark/>
          </w:tcPr>
          <w:p w14:paraId="15AF8733"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253.219</w:t>
            </w:r>
          </w:p>
        </w:tc>
      </w:tr>
      <w:tr w:rsidR="00AB73F4" w:rsidRPr="00CF5EC6" w14:paraId="59F179E1" w14:textId="77777777" w:rsidTr="00045027">
        <w:trPr>
          <w:trHeight w:val="276"/>
        </w:trPr>
        <w:tc>
          <w:tcPr>
            <w:tcW w:w="1605" w:type="dxa"/>
            <w:shd w:val="clear" w:color="auto" w:fill="auto"/>
            <w:noWrap/>
            <w:vAlign w:val="bottom"/>
            <w:hideMark/>
          </w:tcPr>
          <w:p w14:paraId="4E8C7D0F"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98</w:t>
            </w:r>
          </w:p>
        </w:tc>
        <w:tc>
          <w:tcPr>
            <w:tcW w:w="1622" w:type="dxa"/>
            <w:shd w:val="clear" w:color="auto" w:fill="auto"/>
            <w:noWrap/>
            <w:vAlign w:val="bottom"/>
            <w:hideMark/>
          </w:tcPr>
          <w:p w14:paraId="7EA68475"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18,9</w:t>
            </w:r>
          </w:p>
        </w:tc>
        <w:tc>
          <w:tcPr>
            <w:tcW w:w="3577" w:type="dxa"/>
            <w:shd w:val="clear" w:color="auto" w:fill="auto"/>
            <w:noWrap/>
            <w:vAlign w:val="bottom"/>
            <w:hideMark/>
          </w:tcPr>
          <w:p w14:paraId="55347ECE"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241.948</w:t>
            </w:r>
          </w:p>
        </w:tc>
      </w:tr>
      <w:tr w:rsidR="00AB73F4" w:rsidRPr="00CF5EC6" w14:paraId="745E7D51" w14:textId="77777777" w:rsidTr="00045027">
        <w:trPr>
          <w:trHeight w:val="276"/>
        </w:trPr>
        <w:tc>
          <w:tcPr>
            <w:tcW w:w="1605" w:type="dxa"/>
            <w:shd w:val="clear" w:color="auto" w:fill="auto"/>
            <w:noWrap/>
            <w:vAlign w:val="bottom"/>
            <w:hideMark/>
          </w:tcPr>
          <w:p w14:paraId="1FDD8CCC"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99</w:t>
            </w:r>
          </w:p>
        </w:tc>
        <w:tc>
          <w:tcPr>
            <w:tcW w:w="1622" w:type="dxa"/>
            <w:shd w:val="clear" w:color="auto" w:fill="auto"/>
            <w:noWrap/>
            <w:vAlign w:val="bottom"/>
            <w:hideMark/>
          </w:tcPr>
          <w:p w14:paraId="116F42B5"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23,4</w:t>
            </w:r>
          </w:p>
        </w:tc>
        <w:tc>
          <w:tcPr>
            <w:tcW w:w="3577" w:type="dxa"/>
            <w:shd w:val="clear" w:color="auto" w:fill="auto"/>
            <w:noWrap/>
            <w:vAlign w:val="bottom"/>
            <w:hideMark/>
          </w:tcPr>
          <w:p w14:paraId="745ED000"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300.840</w:t>
            </w:r>
          </w:p>
        </w:tc>
      </w:tr>
      <w:tr w:rsidR="00AB73F4" w:rsidRPr="00CF5EC6" w14:paraId="194BAE43" w14:textId="77777777" w:rsidTr="00045027">
        <w:trPr>
          <w:trHeight w:val="276"/>
        </w:trPr>
        <w:tc>
          <w:tcPr>
            <w:tcW w:w="1605" w:type="dxa"/>
            <w:tcBorders>
              <w:bottom w:val="single" w:sz="4" w:space="0" w:color="305698"/>
            </w:tcBorders>
            <w:shd w:val="clear" w:color="auto" w:fill="auto"/>
            <w:noWrap/>
            <w:vAlign w:val="bottom"/>
            <w:hideMark/>
          </w:tcPr>
          <w:p w14:paraId="67FA8D3A" w14:textId="77777777" w:rsidR="00AB73F4" w:rsidRPr="00CF5EC6" w:rsidRDefault="00AB73F4" w:rsidP="00045027">
            <w:pPr>
              <w:spacing w:line="240" w:lineRule="auto"/>
              <w:rPr>
                <w:rFonts w:asciiTheme="majorHAnsi" w:hAnsiTheme="majorHAnsi" w:cstheme="majorHAnsi"/>
              </w:rPr>
            </w:pPr>
            <w:r w:rsidRPr="00CF5EC6">
              <w:rPr>
                <w:rFonts w:asciiTheme="majorHAnsi" w:hAnsiTheme="majorHAnsi" w:cstheme="majorHAnsi"/>
              </w:rPr>
              <w:t>100+</w:t>
            </w:r>
          </w:p>
        </w:tc>
        <w:tc>
          <w:tcPr>
            <w:tcW w:w="1622" w:type="dxa"/>
            <w:tcBorders>
              <w:bottom w:val="single" w:sz="4" w:space="0" w:color="305698"/>
            </w:tcBorders>
            <w:shd w:val="clear" w:color="auto" w:fill="auto"/>
            <w:noWrap/>
            <w:vAlign w:val="bottom"/>
            <w:hideMark/>
          </w:tcPr>
          <w:p w14:paraId="1208CD34"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25,3</w:t>
            </w:r>
          </w:p>
        </w:tc>
        <w:tc>
          <w:tcPr>
            <w:tcW w:w="3577" w:type="dxa"/>
            <w:tcBorders>
              <w:bottom w:val="single" w:sz="4" w:space="0" w:color="305698"/>
            </w:tcBorders>
            <w:shd w:val="clear" w:color="auto" w:fill="auto"/>
            <w:noWrap/>
            <w:vAlign w:val="bottom"/>
            <w:hideMark/>
          </w:tcPr>
          <w:p w14:paraId="76B50347" w14:textId="77777777" w:rsidR="00AB73F4" w:rsidRPr="00CF5EC6" w:rsidRDefault="00AB73F4" w:rsidP="00045027">
            <w:pPr>
              <w:spacing w:line="240" w:lineRule="auto"/>
              <w:jc w:val="right"/>
              <w:rPr>
                <w:rFonts w:asciiTheme="majorHAnsi" w:hAnsiTheme="majorHAnsi" w:cstheme="majorHAnsi"/>
              </w:rPr>
            </w:pPr>
            <w:r w:rsidRPr="00CF5EC6">
              <w:rPr>
                <w:rFonts w:asciiTheme="majorHAnsi" w:hAnsiTheme="majorHAnsi" w:cstheme="majorHAnsi"/>
              </w:rPr>
              <w:t>324.770</w:t>
            </w:r>
          </w:p>
        </w:tc>
      </w:tr>
    </w:tbl>
    <w:p w14:paraId="09E70601" w14:textId="77777777" w:rsidR="00360531" w:rsidRPr="006D5F89" w:rsidRDefault="00360531" w:rsidP="00360531">
      <w:pPr>
        <w:rPr>
          <w:rFonts w:ascii="Calibri" w:hAnsi="Calibri" w:cs="Calibri"/>
          <w:sz w:val="22"/>
          <w:szCs w:val="22"/>
        </w:rPr>
      </w:pPr>
      <w:r w:rsidRPr="00F470A7">
        <w:rPr>
          <w:rFonts w:asciiTheme="majorHAnsi" w:hAnsiTheme="majorHAnsi" w:cstheme="majorHAnsi"/>
          <w:sz w:val="18"/>
          <w:szCs w:val="18"/>
        </w:rPr>
        <w:t xml:space="preserve">Kilde: </w:t>
      </w:r>
      <w:r w:rsidRPr="00360531">
        <w:rPr>
          <w:rFonts w:asciiTheme="majorHAnsi" w:hAnsiTheme="majorHAnsi" w:cstheme="majorHAnsi"/>
          <w:sz w:val="18"/>
          <w:szCs w:val="18"/>
        </w:rPr>
        <w:t xml:space="preserve">Vægtene for de enkelte aldersgruppers udgiftsbehov </w:t>
      </w:r>
      <w:r>
        <w:rPr>
          <w:rFonts w:asciiTheme="majorHAnsi" w:hAnsiTheme="majorHAnsi" w:cstheme="majorHAnsi"/>
          <w:sz w:val="18"/>
          <w:szCs w:val="18"/>
        </w:rPr>
        <w:t xml:space="preserve">er Ældre Sagens egne beregninger på baggrund af enhedsudgifter </w:t>
      </w:r>
      <w:r w:rsidRPr="00360531">
        <w:rPr>
          <w:rFonts w:asciiTheme="majorHAnsi" w:hAnsiTheme="majorHAnsi" w:cstheme="majorHAnsi"/>
          <w:sz w:val="18"/>
          <w:szCs w:val="18"/>
        </w:rPr>
        <w:t>fra en endnu ikke offentliggjort ekstern konsulentrapport, som udarbejdes på vegne af Ældre Sagen (forventes offentliggjort i efteråret 2021)</w:t>
      </w:r>
      <w:r>
        <w:rPr>
          <w:rFonts w:asciiTheme="majorHAnsi" w:hAnsiTheme="majorHAnsi" w:cstheme="majorHAnsi"/>
          <w:sz w:val="18"/>
          <w:szCs w:val="18"/>
        </w:rPr>
        <w:t>.</w:t>
      </w:r>
    </w:p>
    <w:p w14:paraId="5FDA308C" w14:textId="77777777" w:rsidR="00AB73F4" w:rsidRPr="001420D6" w:rsidRDefault="00AB73F4" w:rsidP="00AB73F4">
      <w:pPr>
        <w:rPr>
          <w:rFonts w:asciiTheme="majorHAnsi" w:hAnsiTheme="majorHAnsi" w:cstheme="majorHAnsi"/>
        </w:rPr>
      </w:pPr>
    </w:p>
    <w:p w14:paraId="17725B5D" w14:textId="77777777" w:rsidR="00557A09" w:rsidRPr="00A710CE" w:rsidRDefault="00557A09" w:rsidP="00557A09">
      <w:pPr>
        <w:rPr>
          <w:rFonts w:ascii="Calibri" w:hAnsi="Calibri" w:cs="Calibri"/>
          <w:sz w:val="22"/>
          <w:szCs w:val="22"/>
        </w:rPr>
      </w:pPr>
    </w:p>
    <w:p w14:paraId="73A4F195" w14:textId="4CCB117E" w:rsidR="008D701D" w:rsidRPr="00A710CE" w:rsidRDefault="008D701D">
      <w:pPr>
        <w:autoSpaceDE/>
        <w:autoSpaceDN/>
        <w:adjustRightInd/>
        <w:spacing w:line="240" w:lineRule="auto"/>
        <w:textAlignment w:val="auto"/>
        <w:rPr>
          <w:rFonts w:ascii="Calibri" w:hAnsi="Calibri" w:cs="Calibri"/>
          <w:sz w:val="22"/>
          <w:szCs w:val="22"/>
        </w:rPr>
      </w:pPr>
    </w:p>
    <w:p w14:paraId="1F3BE6AD" w14:textId="77777777" w:rsidR="008D701D" w:rsidRPr="00A710CE" w:rsidRDefault="008D701D" w:rsidP="00032913">
      <w:pPr>
        <w:rPr>
          <w:rFonts w:ascii="Calibri" w:hAnsi="Calibri" w:cs="Calibri"/>
        </w:rPr>
      </w:pPr>
    </w:p>
    <w:sectPr w:rsidR="008D701D" w:rsidRPr="00A710CE" w:rsidSect="00885AA1">
      <w:pgSz w:w="11901" w:h="16840" w:code="9"/>
      <w:pgMar w:top="1701" w:right="1758" w:bottom="1418"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F9E00" w14:textId="77777777" w:rsidR="00045027" w:rsidRDefault="00045027" w:rsidP="00DC7DC6">
      <w:r>
        <w:separator/>
      </w:r>
    </w:p>
  </w:endnote>
  <w:endnote w:type="continuationSeparator" w:id="0">
    <w:p w14:paraId="02FF3746" w14:textId="77777777" w:rsidR="00045027" w:rsidRDefault="00045027" w:rsidP="00DC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8DD97" w14:textId="77777777" w:rsidR="00045027" w:rsidRDefault="0004502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70664"/>
      <w:docPartObj>
        <w:docPartGallery w:val="Page Numbers (Bottom of Page)"/>
        <w:docPartUnique/>
      </w:docPartObj>
    </w:sdtPr>
    <w:sdtEndPr/>
    <w:sdtContent>
      <w:sdt>
        <w:sdtPr>
          <w:id w:val="6796841"/>
          <w:docPartObj>
            <w:docPartGallery w:val="Page Numbers (Top of Page)"/>
            <w:docPartUnique/>
          </w:docPartObj>
        </w:sdtPr>
        <w:sdtEndPr/>
        <w:sdtContent>
          <w:p w14:paraId="7B315319" w14:textId="77777777" w:rsidR="00045027" w:rsidRPr="00363324" w:rsidRDefault="00045027">
            <w:pPr>
              <w:pStyle w:val="Sidefod"/>
              <w:jc w:val="right"/>
            </w:pPr>
            <w:r w:rsidRPr="00363324">
              <w:t xml:space="preserve">Side </w:t>
            </w:r>
            <w:r>
              <w:fldChar w:fldCharType="begin"/>
            </w:r>
            <w:r>
              <w:instrText>PAGE</w:instrText>
            </w:r>
            <w:r>
              <w:fldChar w:fldCharType="separate"/>
            </w:r>
            <w:r>
              <w:t>2</w:t>
            </w:r>
            <w:r>
              <w:fldChar w:fldCharType="end"/>
            </w:r>
            <w:r w:rsidRPr="00363324">
              <w:t xml:space="preserve"> af </w:t>
            </w:r>
            <w:r>
              <w:fldChar w:fldCharType="begin"/>
            </w:r>
            <w:r>
              <w:instrText>NUMPAGES</w:instrText>
            </w:r>
            <w:r>
              <w:fldChar w:fldCharType="separate"/>
            </w:r>
            <w:r>
              <w:t>1</w:t>
            </w:r>
            <w:r>
              <w:fldChar w:fldCharType="end"/>
            </w:r>
          </w:p>
        </w:sdtContent>
      </w:sdt>
    </w:sdtContent>
  </w:sdt>
  <w:p w14:paraId="2E4DD1E8" w14:textId="77777777" w:rsidR="00045027" w:rsidRDefault="00045027" w:rsidP="00363324">
    <w:pPr>
      <w:pStyle w:val="Sidefod"/>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1EAE0" w14:textId="77777777" w:rsidR="00045027" w:rsidRPr="0034775F" w:rsidRDefault="00045027">
    <w:pPr>
      <w:rPr>
        <w:rFonts w:ascii="Arial" w:hAnsi="Arial" w:cs="Arial"/>
      </w:rPr>
    </w:pPr>
  </w:p>
  <w:tbl>
    <w:tblPr>
      <w:tblStyle w:val="Tabel-Gitter"/>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551"/>
      <w:gridCol w:w="2410"/>
      <w:gridCol w:w="2977"/>
    </w:tblGrid>
    <w:tr w:rsidR="00045027" w:rsidRPr="0034775F" w14:paraId="03D3E760" w14:textId="77777777" w:rsidTr="00B74EFF">
      <w:tc>
        <w:tcPr>
          <w:tcW w:w="2127" w:type="dxa"/>
        </w:tcPr>
        <w:p w14:paraId="75BC572F" w14:textId="77777777" w:rsidR="00045027" w:rsidRPr="0034775F" w:rsidRDefault="00045027" w:rsidP="00492D92">
          <w:pPr>
            <w:pStyle w:val="Pa0"/>
            <w:rPr>
              <w:color w:val="000000"/>
              <w:sz w:val="15"/>
              <w:szCs w:val="15"/>
            </w:rPr>
          </w:pPr>
          <w:r w:rsidRPr="0034775F">
            <w:rPr>
              <w:rStyle w:val="A0"/>
            </w:rPr>
            <w:t>Ældre Sagen</w:t>
          </w:r>
        </w:p>
        <w:p w14:paraId="55698EAC" w14:textId="77777777" w:rsidR="00045027" w:rsidRPr="0034775F" w:rsidRDefault="00045027" w:rsidP="00FB46BF">
          <w:pPr>
            <w:pStyle w:val="Pa0"/>
            <w:rPr>
              <w:rStyle w:val="A0"/>
            </w:rPr>
          </w:pPr>
          <w:proofErr w:type="spellStart"/>
          <w:r w:rsidRPr="0034775F">
            <w:rPr>
              <w:rStyle w:val="A0"/>
            </w:rPr>
            <w:t>Snorresgade</w:t>
          </w:r>
          <w:proofErr w:type="spellEnd"/>
          <w:r w:rsidRPr="0034775F">
            <w:rPr>
              <w:rStyle w:val="A0"/>
            </w:rPr>
            <w:t xml:space="preserve"> 17-19</w:t>
          </w:r>
        </w:p>
        <w:p w14:paraId="4D934C34" w14:textId="77777777" w:rsidR="00045027" w:rsidRPr="0034775F" w:rsidRDefault="00045027" w:rsidP="00FB46BF">
          <w:pPr>
            <w:pStyle w:val="Sidefod"/>
            <w:rPr>
              <w:rFonts w:ascii="Arial" w:hAnsi="Arial" w:cs="Arial"/>
            </w:rPr>
          </w:pPr>
          <w:r w:rsidRPr="0034775F">
            <w:rPr>
              <w:rStyle w:val="A0"/>
              <w:rFonts w:ascii="Arial" w:hAnsi="Arial" w:cs="Arial"/>
            </w:rPr>
            <w:t>2300 København S</w:t>
          </w:r>
        </w:p>
      </w:tc>
      <w:tc>
        <w:tcPr>
          <w:tcW w:w="2551" w:type="dxa"/>
        </w:tcPr>
        <w:p w14:paraId="26DF3A10" w14:textId="77777777" w:rsidR="00045027" w:rsidRPr="0034775F" w:rsidRDefault="00045027" w:rsidP="00492D92">
          <w:pPr>
            <w:pStyle w:val="Pa0"/>
            <w:rPr>
              <w:color w:val="000000"/>
              <w:sz w:val="15"/>
              <w:szCs w:val="15"/>
              <w:lang w:val="en-US"/>
            </w:rPr>
          </w:pPr>
          <w:proofErr w:type="spellStart"/>
          <w:r w:rsidRPr="0034775F">
            <w:rPr>
              <w:rStyle w:val="A0"/>
              <w:lang w:val="en-US"/>
            </w:rPr>
            <w:t>Tlf</w:t>
          </w:r>
          <w:proofErr w:type="spellEnd"/>
          <w:r w:rsidRPr="0034775F">
            <w:rPr>
              <w:rStyle w:val="A0"/>
              <w:lang w:val="en-US"/>
            </w:rPr>
            <w:t>. 33 96 86 86</w:t>
          </w:r>
        </w:p>
        <w:p w14:paraId="5CC3431D" w14:textId="77777777" w:rsidR="00045027" w:rsidRPr="0034775F" w:rsidRDefault="00045027" w:rsidP="00492D92">
          <w:pPr>
            <w:pStyle w:val="Pa0"/>
            <w:rPr>
              <w:color w:val="000000"/>
              <w:sz w:val="15"/>
              <w:szCs w:val="15"/>
              <w:lang w:val="en-US"/>
            </w:rPr>
          </w:pPr>
          <w:r w:rsidRPr="0034775F">
            <w:rPr>
              <w:rStyle w:val="A0"/>
              <w:lang w:val="en-US"/>
            </w:rPr>
            <w:t>aeldresagen@aeldresagen.dk</w:t>
          </w:r>
        </w:p>
        <w:p w14:paraId="49F29E6E" w14:textId="77777777" w:rsidR="00045027" w:rsidRPr="0034775F" w:rsidRDefault="00045027" w:rsidP="00492D92">
          <w:pPr>
            <w:pStyle w:val="Sidefod"/>
            <w:rPr>
              <w:rFonts w:ascii="Arial" w:hAnsi="Arial" w:cs="Arial"/>
              <w:lang w:val="en-US"/>
            </w:rPr>
          </w:pPr>
          <w:r w:rsidRPr="0034775F">
            <w:rPr>
              <w:rStyle w:val="A0"/>
              <w:rFonts w:ascii="Arial" w:hAnsi="Arial" w:cs="Arial"/>
              <w:lang w:val="en-US"/>
            </w:rPr>
            <w:t>www.aeldresagen.dk</w:t>
          </w:r>
        </w:p>
      </w:tc>
      <w:tc>
        <w:tcPr>
          <w:tcW w:w="2410" w:type="dxa"/>
        </w:tcPr>
        <w:p w14:paraId="7BB4B534" w14:textId="77777777" w:rsidR="00045027" w:rsidRPr="0034775F" w:rsidRDefault="00045027" w:rsidP="00492D92">
          <w:pPr>
            <w:pStyle w:val="Pa0"/>
            <w:rPr>
              <w:color w:val="000000"/>
              <w:sz w:val="15"/>
              <w:szCs w:val="15"/>
            </w:rPr>
          </w:pPr>
          <w:r w:rsidRPr="0034775F">
            <w:rPr>
              <w:rStyle w:val="A0"/>
            </w:rPr>
            <w:t xml:space="preserve">Protektor: </w:t>
          </w:r>
        </w:p>
        <w:p w14:paraId="5E988486" w14:textId="77777777" w:rsidR="00045027" w:rsidRPr="0034775F" w:rsidRDefault="00045027" w:rsidP="00492D92">
          <w:pPr>
            <w:pStyle w:val="Sidefod"/>
            <w:rPr>
              <w:rFonts w:ascii="Arial" w:hAnsi="Arial" w:cs="Arial"/>
            </w:rPr>
          </w:pPr>
          <w:r w:rsidRPr="0034775F">
            <w:rPr>
              <w:rStyle w:val="A0"/>
              <w:rFonts w:ascii="Arial" w:hAnsi="Arial" w:cs="Arial"/>
            </w:rPr>
            <w:t>Hendes Majestæt Dronning Margrethe II</w:t>
          </w:r>
        </w:p>
      </w:tc>
      <w:tc>
        <w:tcPr>
          <w:tcW w:w="2977" w:type="dxa"/>
        </w:tcPr>
        <w:p w14:paraId="1C20F39B" w14:textId="77777777" w:rsidR="00045027" w:rsidRPr="0034775F" w:rsidRDefault="00045027" w:rsidP="00492D92">
          <w:pPr>
            <w:pStyle w:val="Pa0"/>
            <w:rPr>
              <w:color w:val="000000"/>
              <w:sz w:val="15"/>
              <w:szCs w:val="15"/>
            </w:rPr>
          </w:pPr>
          <w:r w:rsidRPr="0034775F">
            <w:rPr>
              <w:rStyle w:val="A0"/>
            </w:rPr>
            <w:t xml:space="preserve">Gavebeløb til Ældre Sagen </w:t>
          </w:r>
        </w:p>
        <w:p w14:paraId="372E3C81" w14:textId="77777777" w:rsidR="00045027" w:rsidRPr="0034775F" w:rsidRDefault="00045027" w:rsidP="00492D92">
          <w:pPr>
            <w:pStyle w:val="Sidefod"/>
            <w:rPr>
              <w:rFonts w:ascii="Arial" w:hAnsi="Arial" w:cs="Arial"/>
            </w:rPr>
          </w:pPr>
          <w:r w:rsidRPr="0034775F">
            <w:rPr>
              <w:rStyle w:val="A0"/>
              <w:rFonts w:ascii="Arial" w:hAnsi="Arial" w:cs="Arial"/>
            </w:rPr>
            <w:t>kan fratrækkes efter gældende skatteregler · Giro 450-5050</w:t>
          </w:r>
        </w:p>
      </w:tc>
    </w:tr>
  </w:tbl>
  <w:p w14:paraId="735FFE6D" w14:textId="77777777" w:rsidR="00045027" w:rsidRPr="0034775F" w:rsidRDefault="00045027" w:rsidP="0080600E">
    <w:pPr>
      <w:pStyle w:val="Sidefod"/>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20093" w14:textId="77777777" w:rsidR="00045027" w:rsidRDefault="00045027" w:rsidP="00DC7DC6">
      <w:r>
        <w:separator/>
      </w:r>
    </w:p>
  </w:footnote>
  <w:footnote w:type="continuationSeparator" w:id="0">
    <w:p w14:paraId="67596738" w14:textId="77777777" w:rsidR="00045027" w:rsidRDefault="00045027" w:rsidP="00DC7DC6">
      <w:r>
        <w:continuationSeparator/>
      </w:r>
    </w:p>
  </w:footnote>
  <w:footnote w:id="1">
    <w:p w14:paraId="03EE2F11" w14:textId="3A7354B7" w:rsidR="00045027" w:rsidRDefault="00045027">
      <w:pPr>
        <w:pStyle w:val="Fodnotetekst"/>
      </w:pPr>
      <w:r>
        <w:rPr>
          <w:rStyle w:val="Fodnotehenvisning"/>
        </w:rPr>
        <w:footnoteRef/>
      </w:r>
      <w:r>
        <w:t xml:space="preserve"> I analysen anvendes tal for visiterede hjemmehjælpstimer og borgere visiteret til hjemmehjælp. Der kan således være en afvigelse i forhold til det faktiske antal timer og modtagere</w:t>
      </w:r>
    </w:p>
  </w:footnote>
  <w:footnote w:id="2">
    <w:p w14:paraId="6E6090B3" w14:textId="77777777" w:rsidR="00045027" w:rsidRDefault="00045027" w:rsidP="004344E7">
      <w:pPr>
        <w:pStyle w:val="Fodnotetekst"/>
      </w:pPr>
      <w:r>
        <w:rPr>
          <w:rStyle w:val="Fodnotehenvisning"/>
        </w:rPr>
        <w:footnoteRef/>
      </w:r>
      <w:r>
        <w:t xml:space="preserve"> </w:t>
      </w:r>
      <w:r w:rsidRPr="000827DB">
        <w:t>(https://sundhedsmonitor.dk/debat/art8003115/S%C3%A5-meget-er-bevillingerne-til-%C3%A6ldreplejen-blevet-udhulet-det-seneste-%C3%A5rti)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FFE02" w14:textId="77777777" w:rsidR="00045027" w:rsidRDefault="0004502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FE13C" w14:textId="77777777" w:rsidR="00045027" w:rsidRDefault="0004502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B9ECD" w14:textId="77777777" w:rsidR="00045027" w:rsidRDefault="00045027" w:rsidP="009D2891">
    <w:pPr>
      <w:pStyle w:val="Sidehoved"/>
      <w:jc w:val="center"/>
    </w:pPr>
    <w:r>
      <w:rPr>
        <w:noProof/>
      </w:rPr>
      <w:drawing>
        <wp:anchor distT="0" distB="0" distL="114300" distR="114300" simplePos="0" relativeHeight="251662336" behindDoc="0" locked="0" layoutInCell="1" allowOverlap="1" wp14:anchorId="6CAC3A51" wp14:editId="264639AD">
          <wp:simplePos x="0" y="0"/>
          <wp:positionH relativeFrom="column">
            <wp:posOffset>2196465</wp:posOffset>
          </wp:positionH>
          <wp:positionV relativeFrom="paragraph">
            <wp:posOffset>323850</wp:posOffset>
          </wp:positionV>
          <wp:extent cx="1584000" cy="273600"/>
          <wp:effectExtent l="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ldresagen_logo_201601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27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513417"/>
    <w:multiLevelType w:val="multilevel"/>
    <w:tmpl w:val="3CC6C11A"/>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4E559FE"/>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29"/>
    <w:rsid w:val="00006F83"/>
    <w:rsid w:val="00012833"/>
    <w:rsid w:val="00032913"/>
    <w:rsid w:val="00043036"/>
    <w:rsid w:val="000433EF"/>
    <w:rsid w:val="00045027"/>
    <w:rsid w:val="00047BDF"/>
    <w:rsid w:val="00052605"/>
    <w:rsid w:val="00054CE7"/>
    <w:rsid w:val="00060E45"/>
    <w:rsid w:val="0006207A"/>
    <w:rsid w:val="0007087B"/>
    <w:rsid w:val="00081091"/>
    <w:rsid w:val="000827DB"/>
    <w:rsid w:val="00092D10"/>
    <w:rsid w:val="00095F6D"/>
    <w:rsid w:val="000A14E1"/>
    <w:rsid w:val="000A75D9"/>
    <w:rsid w:val="000B10F3"/>
    <w:rsid w:val="000C113C"/>
    <w:rsid w:val="000D5795"/>
    <w:rsid w:val="000D7F74"/>
    <w:rsid w:val="000F73CB"/>
    <w:rsid w:val="00104852"/>
    <w:rsid w:val="00134A0D"/>
    <w:rsid w:val="00141892"/>
    <w:rsid w:val="00144A61"/>
    <w:rsid w:val="001564AA"/>
    <w:rsid w:val="00164E9D"/>
    <w:rsid w:val="0016697B"/>
    <w:rsid w:val="00174589"/>
    <w:rsid w:val="001763EB"/>
    <w:rsid w:val="00180DFC"/>
    <w:rsid w:val="001967A7"/>
    <w:rsid w:val="001A2C28"/>
    <w:rsid w:val="001A73BB"/>
    <w:rsid w:val="001A7C3B"/>
    <w:rsid w:val="001B58B8"/>
    <w:rsid w:val="001C1CF8"/>
    <w:rsid w:val="001C2964"/>
    <w:rsid w:val="001C70AF"/>
    <w:rsid w:val="001D7A43"/>
    <w:rsid w:val="001E089C"/>
    <w:rsid w:val="001F43C9"/>
    <w:rsid w:val="001F4C99"/>
    <w:rsid w:val="001F662E"/>
    <w:rsid w:val="001F75E6"/>
    <w:rsid w:val="00204AC9"/>
    <w:rsid w:val="002164E1"/>
    <w:rsid w:val="002218FD"/>
    <w:rsid w:val="00222862"/>
    <w:rsid w:val="00230F17"/>
    <w:rsid w:val="00235B02"/>
    <w:rsid w:val="002466F6"/>
    <w:rsid w:val="00254BA8"/>
    <w:rsid w:val="00264997"/>
    <w:rsid w:val="00271967"/>
    <w:rsid w:val="00285B4B"/>
    <w:rsid w:val="00286161"/>
    <w:rsid w:val="002870C2"/>
    <w:rsid w:val="00291A44"/>
    <w:rsid w:val="00291FA0"/>
    <w:rsid w:val="002938F3"/>
    <w:rsid w:val="002A3B7B"/>
    <w:rsid w:val="002B3048"/>
    <w:rsid w:val="002C112F"/>
    <w:rsid w:val="002C3E38"/>
    <w:rsid w:val="002C3F06"/>
    <w:rsid w:val="002D3019"/>
    <w:rsid w:val="002D36D8"/>
    <w:rsid w:val="002D4557"/>
    <w:rsid w:val="002E1D48"/>
    <w:rsid w:val="002E4054"/>
    <w:rsid w:val="002F05F3"/>
    <w:rsid w:val="002F5584"/>
    <w:rsid w:val="00300D60"/>
    <w:rsid w:val="00303C7E"/>
    <w:rsid w:val="00304D19"/>
    <w:rsid w:val="00310078"/>
    <w:rsid w:val="00312396"/>
    <w:rsid w:val="0031273C"/>
    <w:rsid w:val="003229FF"/>
    <w:rsid w:val="0032384D"/>
    <w:rsid w:val="003319BA"/>
    <w:rsid w:val="00334D4F"/>
    <w:rsid w:val="00335BF5"/>
    <w:rsid w:val="00344376"/>
    <w:rsid w:val="00344E75"/>
    <w:rsid w:val="0034775F"/>
    <w:rsid w:val="00347E19"/>
    <w:rsid w:val="00351F15"/>
    <w:rsid w:val="003569C3"/>
    <w:rsid w:val="00356BF5"/>
    <w:rsid w:val="00360531"/>
    <w:rsid w:val="00361BDC"/>
    <w:rsid w:val="00363324"/>
    <w:rsid w:val="00371535"/>
    <w:rsid w:val="0037210B"/>
    <w:rsid w:val="00375CEB"/>
    <w:rsid w:val="00393CB9"/>
    <w:rsid w:val="003A0C82"/>
    <w:rsid w:val="003A4031"/>
    <w:rsid w:val="003B0CB6"/>
    <w:rsid w:val="003C50B5"/>
    <w:rsid w:val="003C57B8"/>
    <w:rsid w:val="003E0AEF"/>
    <w:rsid w:val="003E48FC"/>
    <w:rsid w:val="003E78A9"/>
    <w:rsid w:val="003F1E51"/>
    <w:rsid w:val="003F794D"/>
    <w:rsid w:val="00405686"/>
    <w:rsid w:val="00407E62"/>
    <w:rsid w:val="00427F67"/>
    <w:rsid w:val="00430B39"/>
    <w:rsid w:val="004344E7"/>
    <w:rsid w:val="00434F85"/>
    <w:rsid w:val="00436EFA"/>
    <w:rsid w:val="00437BB3"/>
    <w:rsid w:val="004425E7"/>
    <w:rsid w:val="004836C9"/>
    <w:rsid w:val="004868D5"/>
    <w:rsid w:val="00486B1D"/>
    <w:rsid w:val="00490685"/>
    <w:rsid w:val="00492D92"/>
    <w:rsid w:val="004B2AE8"/>
    <w:rsid w:val="004B340D"/>
    <w:rsid w:val="004C2DE5"/>
    <w:rsid w:val="004C76B9"/>
    <w:rsid w:val="004D0B5A"/>
    <w:rsid w:val="004E2200"/>
    <w:rsid w:val="004E3FFC"/>
    <w:rsid w:val="004E430A"/>
    <w:rsid w:val="004F02F8"/>
    <w:rsid w:val="004F365C"/>
    <w:rsid w:val="004F65F7"/>
    <w:rsid w:val="00506B72"/>
    <w:rsid w:val="00507682"/>
    <w:rsid w:val="00513A89"/>
    <w:rsid w:val="005141D3"/>
    <w:rsid w:val="00520559"/>
    <w:rsid w:val="00557763"/>
    <w:rsid w:val="00557A09"/>
    <w:rsid w:val="00574410"/>
    <w:rsid w:val="00575D2D"/>
    <w:rsid w:val="00584EAF"/>
    <w:rsid w:val="00585A65"/>
    <w:rsid w:val="00590DE6"/>
    <w:rsid w:val="00591706"/>
    <w:rsid w:val="005A23DB"/>
    <w:rsid w:val="005A2402"/>
    <w:rsid w:val="005B6A0D"/>
    <w:rsid w:val="005C189E"/>
    <w:rsid w:val="005C1FD6"/>
    <w:rsid w:val="005C78BC"/>
    <w:rsid w:val="005D030A"/>
    <w:rsid w:val="005D34A8"/>
    <w:rsid w:val="005D6FAB"/>
    <w:rsid w:val="005F5BAB"/>
    <w:rsid w:val="006023F5"/>
    <w:rsid w:val="00610FDF"/>
    <w:rsid w:val="00612CA0"/>
    <w:rsid w:val="00620690"/>
    <w:rsid w:val="00622F59"/>
    <w:rsid w:val="00623ACD"/>
    <w:rsid w:val="00627736"/>
    <w:rsid w:val="00631041"/>
    <w:rsid w:val="00640E38"/>
    <w:rsid w:val="00647647"/>
    <w:rsid w:val="00653F31"/>
    <w:rsid w:val="006817F4"/>
    <w:rsid w:val="006A190D"/>
    <w:rsid w:val="006A2F73"/>
    <w:rsid w:val="006A4EDE"/>
    <w:rsid w:val="006A781A"/>
    <w:rsid w:val="006C57E3"/>
    <w:rsid w:val="006D14E7"/>
    <w:rsid w:val="006D4778"/>
    <w:rsid w:val="006D5F89"/>
    <w:rsid w:val="006E4A72"/>
    <w:rsid w:val="006E6E14"/>
    <w:rsid w:val="006F0252"/>
    <w:rsid w:val="006F2BCF"/>
    <w:rsid w:val="006F379E"/>
    <w:rsid w:val="006F6941"/>
    <w:rsid w:val="006F76CB"/>
    <w:rsid w:val="00710CB6"/>
    <w:rsid w:val="007149A6"/>
    <w:rsid w:val="0071668F"/>
    <w:rsid w:val="0072010E"/>
    <w:rsid w:val="00721CA6"/>
    <w:rsid w:val="00740FE8"/>
    <w:rsid w:val="007429D2"/>
    <w:rsid w:val="00747ED3"/>
    <w:rsid w:val="00765DB7"/>
    <w:rsid w:val="00772ABB"/>
    <w:rsid w:val="00773AE9"/>
    <w:rsid w:val="007936C0"/>
    <w:rsid w:val="00796F61"/>
    <w:rsid w:val="007A07F9"/>
    <w:rsid w:val="007A097D"/>
    <w:rsid w:val="007A0C35"/>
    <w:rsid w:val="007B71DD"/>
    <w:rsid w:val="007C1DD1"/>
    <w:rsid w:val="007D0A18"/>
    <w:rsid w:val="007D1470"/>
    <w:rsid w:val="007D3246"/>
    <w:rsid w:val="007D7AFC"/>
    <w:rsid w:val="007F73D5"/>
    <w:rsid w:val="00800BDF"/>
    <w:rsid w:val="00802EDB"/>
    <w:rsid w:val="00803C45"/>
    <w:rsid w:val="00804DFA"/>
    <w:rsid w:val="0080600E"/>
    <w:rsid w:val="008060E5"/>
    <w:rsid w:val="008113F3"/>
    <w:rsid w:val="0081540C"/>
    <w:rsid w:val="008234BF"/>
    <w:rsid w:val="00823EB2"/>
    <w:rsid w:val="00824BD6"/>
    <w:rsid w:val="008363B1"/>
    <w:rsid w:val="008372CB"/>
    <w:rsid w:val="00854920"/>
    <w:rsid w:val="00854C11"/>
    <w:rsid w:val="008606F1"/>
    <w:rsid w:val="00876D95"/>
    <w:rsid w:val="008846F8"/>
    <w:rsid w:val="00885AA1"/>
    <w:rsid w:val="008B03D0"/>
    <w:rsid w:val="008B51E4"/>
    <w:rsid w:val="008B60AB"/>
    <w:rsid w:val="008C19B1"/>
    <w:rsid w:val="008C602C"/>
    <w:rsid w:val="008D1F2C"/>
    <w:rsid w:val="008D2153"/>
    <w:rsid w:val="008D701D"/>
    <w:rsid w:val="008E2258"/>
    <w:rsid w:val="008F5A9D"/>
    <w:rsid w:val="009106B8"/>
    <w:rsid w:val="00913A29"/>
    <w:rsid w:val="009249F6"/>
    <w:rsid w:val="009264A4"/>
    <w:rsid w:val="00931C14"/>
    <w:rsid w:val="00933C0E"/>
    <w:rsid w:val="00947BAC"/>
    <w:rsid w:val="0095677E"/>
    <w:rsid w:val="00960522"/>
    <w:rsid w:val="00965850"/>
    <w:rsid w:val="00974AB4"/>
    <w:rsid w:val="0097749A"/>
    <w:rsid w:val="00984E53"/>
    <w:rsid w:val="009B4200"/>
    <w:rsid w:val="009B5B69"/>
    <w:rsid w:val="009B77DF"/>
    <w:rsid w:val="009C73E8"/>
    <w:rsid w:val="009D11FB"/>
    <w:rsid w:val="009D2215"/>
    <w:rsid w:val="009D2891"/>
    <w:rsid w:val="009D49B7"/>
    <w:rsid w:val="009E1C92"/>
    <w:rsid w:val="009E5059"/>
    <w:rsid w:val="009E5860"/>
    <w:rsid w:val="00A00237"/>
    <w:rsid w:val="00A061B2"/>
    <w:rsid w:val="00A106AA"/>
    <w:rsid w:val="00A31A0C"/>
    <w:rsid w:val="00A322E4"/>
    <w:rsid w:val="00A357EB"/>
    <w:rsid w:val="00A35B1F"/>
    <w:rsid w:val="00A429DE"/>
    <w:rsid w:val="00A43C4D"/>
    <w:rsid w:val="00A474EF"/>
    <w:rsid w:val="00A57F6A"/>
    <w:rsid w:val="00A609E4"/>
    <w:rsid w:val="00A6369C"/>
    <w:rsid w:val="00A703E6"/>
    <w:rsid w:val="00A710CE"/>
    <w:rsid w:val="00A758F0"/>
    <w:rsid w:val="00A866E9"/>
    <w:rsid w:val="00A92FD2"/>
    <w:rsid w:val="00A93208"/>
    <w:rsid w:val="00A96FC6"/>
    <w:rsid w:val="00AA1E3C"/>
    <w:rsid w:val="00AA5482"/>
    <w:rsid w:val="00AB0928"/>
    <w:rsid w:val="00AB73F4"/>
    <w:rsid w:val="00AC08FF"/>
    <w:rsid w:val="00AC1E62"/>
    <w:rsid w:val="00AD4B78"/>
    <w:rsid w:val="00AE3029"/>
    <w:rsid w:val="00AF6AD2"/>
    <w:rsid w:val="00B14A0C"/>
    <w:rsid w:val="00B21261"/>
    <w:rsid w:val="00B23026"/>
    <w:rsid w:val="00B27EC3"/>
    <w:rsid w:val="00B35670"/>
    <w:rsid w:val="00B400B1"/>
    <w:rsid w:val="00B628F4"/>
    <w:rsid w:val="00B63D61"/>
    <w:rsid w:val="00B74EFF"/>
    <w:rsid w:val="00B81844"/>
    <w:rsid w:val="00B97394"/>
    <w:rsid w:val="00BA478F"/>
    <w:rsid w:val="00BA5479"/>
    <w:rsid w:val="00BB318B"/>
    <w:rsid w:val="00BB58C1"/>
    <w:rsid w:val="00BC6D41"/>
    <w:rsid w:val="00BC7D2F"/>
    <w:rsid w:val="00BD4D08"/>
    <w:rsid w:val="00BE1422"/>
    <w:rsid w:val="00BE5E34"/>
    <w:rsid w:val="00BF100F"/>
    <w:rsid w:val="00C03501"/>
    <w:rsid w:val="00C0519B"/>
    <w:rsid w:val="00C135B5"/>
    <w:rsid w:val="00C155D8"/>
    <w:rsid w:val="00C163EC"/>
    <w:rsid w:val="00C16CAD"/>
    <w:rsid w:val="00C234A2"/>
    <w:rsid w:val="00C334DD"/>
    <w:rsid w:val="00C34EEF"/>
    <w:rsid w:val="00C36398"/>
    <w:rsid w:val="00C45DD4"/>
    <w:rsid w:val="00C54044"/>
    <w:rsid w:val="00C57121"/>
    <w:rsid w:val="00C62433"/>
    <w:rsid w:val="00C76EB8"/>
    <w:rsid w:val="00C80A84"/>
    <w:rsid w:val="00C83FC4"/>
    <w:rsid w:val="00C866D4"/>
    <w:rsid w:val="00C97057"/>
    <w:rsid w:val="00CA38B5"/>
    <w:rsid w:val="00CB6747"/>
    <w:rsid w:val="00CC1F13"/>
    <w:rsid w:val="00CC27F3"/>
    <w:rsid w:val="00CD48FB"/>
    <w:rsid w:val="00CD5868"/>
    <w:rsid w:val="00CD75D6"/>
    <w:rsid w:val="00CE4A82"/>
    <w:rsid w:val="00CE76D8"/>
    <w:rsid w:val="00CF3FA7"/>
    <w:rsid w:val="00CF75DC"/>
    <w:rsid w:val="00D10FDA"/>
    <w:rsid w:val="00D47880"/>
    <w:rsid w:val="00D518BE"/>
    <w:rsid w:val="00D64A33"/>
    <w:rsid w:val="00D765AC"/>
    <w:rsid w:val="00D77ADB"/>
    <w:rsid w:val="00D816EF"/>
    <w:rsid w:val="00D85A9D"/>
    <w:rsid w:val="00D86566"/>
    <w:rsid w:val="00D86A18"/>
    <w:rsid w:val="00D97EA2"/>
    <w:rsid w:val="00DA122D"/>
    <w:rsid w:val="00DB096E"/>
    <w:rsid w:val="00DB1BCB"/>
    <w:rsid w:val="00DB3D21"/>
    <w:rsid w:val="00DB7477"/>
    <w:rsid w:val="00DC12BF"/>
    <w:rsid w:val="00DC7DC6"/>
    <w:rsid w:val="00DD09FC"/>
    <w:rsid w:val="00DD2C4C"/>
    <w:rsid w:val="00DD7390"/>
    <w:rsid w:val="00DE334C"/>
    <w:rsid w:val="00DE765F"/>
    <w:rsid w:val="00DF386E"/>
    <w:rsid w:val="00DF6E26"/>
    <w:rsid w:val="00E013B6"/>
    <w:rsid w:val="00E074C9"/>
    <w:rsid w:val="00E10D38"/>
    <w:rsid w:val="00E11815"/>
    <w:rsid w:val="00E14DCC"/>
    <w:rsid w:val="00E213DF"/>
    <w:rsid w:val="00E24D69"/>
    <w:rsid w:val="00E25B88"/>
    <w:rsid w:val="00E32320"/>
    <w:rsid w:val="00E450CD"/>
    <w:rsid w:val="00E51DC2"/>
    <w:rsid w:val="00E52435"/>
    <w:rsid w:val="00E542C6"/>
    <w:rsid w:val="00E63ADD"/>
    <w:rsid w:val="00E722F0"/>
    <w:rsid w:val="00E73152"/>
    <w:rsid w:val="00E73C38"/>
    <w:rsid w:val="00E7544B"/>
    <w:rsid w:val="00E77D8D"/>
    <w:rsid w:val="00E836F8"/>
    <w:rsid w:val="00E86AA7"/>
    <w:rsid w:val="00E87CE3"/>
    <w:rsid w:val="00E96B9F"/>
    <w:rsid w:val="00EA33F0"/>
    <w:rsid w:val="00EA4C9B"/>
    <w:rsid w:val="00EA5378"/>
    <w:rsid w:val="00EA618E"/>
    <w:rsid w:val="00EA7F98"/>
    <w:rsid w:val="00EB0E81"/>
    <w:rsid w:val="00EB3C35"/>
    <w:rsid w:val="00EB64FC"/>
    <w:rsid w:val="00ED023C"/>
    <w:rsid w:val="00ED539E"/>
    <w:rsid w:val="00ED713C"/>
    <w:rsid w:val="00EF394D"/>
    <w:rsid w:val="00F05CF7"/>
    <w:rsid w:val="00F15155"/>
    <w:rsid w:val="00F26E79"/>
    <w:rsid w:val="00F34379"/>
    <w:rsid w:val="00F35F26"/>
    <w:rsid w:val="00F372FA"/>
    <w:rsid w:val="00F45E73"/>
    <w:rsid w:val="00F50102"/>
    <w:rsid w:val="00F50FB3"/>
    <w:rsid w:val="00F6303B"/>
    <w:rsid w:val="00F732BA"/>
    <w:rsid w:val="00F85957"/>
    <w:rsid w:val="00F95657"/>
    <w:rsid w:val="00FA205A"/>
    <w:rsid w:val="00FA25B0"/>
    <w:rsid w:val="00FA5291"/>
    <w:rsid w:val="00FA552E"/>
    <w:rsid w:val="00FA720A"/>
    <w:rsid w:val="00FA7CB9"/>
    <w:rsid w:val="00FB2A95"/>
    <w:rsid w:val="00FB46BF"/>
    <w:rsid w:val="00FB6770"/>
    <w:rsid w:val="00FC1242"/>
    <w:rsid w:val="00FC34BF"/>
    <w:rsid w:val="00FC399B"/>
    <w:rsid w:val="00FC57D5"/>
    <w:rsid w:val="00FD0DC3"/>
    <w:rsid w:val="00FD2A8E"/>
    <w:rsid w:val="00FD64E8"/>
    <w:rsid w:val="00FE7AFC"/>
    <w:rsid w:val="00FF09F4"/>
    <w:rsid w:val="00FF23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388BB41"/>
  <w15:docId w15:val="{53C79351-B524-4A2F-B678-0951D02D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913"/>
    <w:pPr>
      <w:autoSpaceDE w:val="0"/>
      <w:autoSpaceDN w:val="0"/>
      <w:adjustRightInd w:val="0"/>
      <w:spacing w:line="288" w:lineRule="auto"/>
      <w:textAlignment w:val="center"/>
    </w:pPr>
    <w:rPr>
      <w:rFonts w:asciiTheme="minorHAnsi" w:eastAsia="Times New Roman" w:hAnsiTheme="minorHAnsi"/>
      <w:color w:val="000000"/>
      <w:szCs w:val="24"/>
    </w:rPr>
  </w:style>
  <w:style w:type="paragraph" w:styleId="Overskrift1">
    <w:name w:val="heading 1"/>
    <w:basedOn w:val="Brevtekst"/>
    <w:next w:val="Normal"/>
    <w:link w:val="Overskrift1Tegn"/>
    <w:qFormat/>
    <w:rsid w:val="00032913"/>
    <w:pPr>
      <w:spacing w:after="320"/>
      <w:outlineLvl w:val="0"/>
    </w:pPr>
    <w:rPr>
      <w:rFonts w:asciiTheme="majorHAnsi" w:hAnsiTheme="majorHAnsi" w:cs="Arial"/>
      <w:b/>
      <w:sz w:val="20"/>
    </w:rPr>
  </w:style>
  <w:style w:type="paragraph" w:styleId="Overskrift2">
    <w:name w:val="heading 2"/>
    <w:basedOn w:val="Normal"/>
    <w:next w:val="Normal"/>
    <w:link w:val="Overskrift2Tegn"/>
    <w:unhideWhenUsed/>
    <w:qFormat/>
    <w:rsid w:val="00D10FDA"/>
    <w:pPr>
      <w:keepNext/>
      <w:keepLines/>
      <w:spacing w:before="40"/>
      <w:outlineLvl w:val="1"/>
    </w:pPr>
    <w:rPr>
      <w:rFonts w:asciiTheme="majorHAnsi" w:eastAsiaTheme="majorEastAsia" w:hAnsiTheme="majorHAnsi" w:cstheme="majorBidi"/>
      <w:color w:val="9B3C77"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Dokumentoversigt">
    <w:name w:val="Document Map"/>
    <w:basedOn w:val="Normal"/>
    <w:semiHidden/>
    <w:rsid w:val="0071668F"/>
    <w:pPr>
      <w:shd w:val="clear" w:color="auto" w:fill="000080"/>
    </w:pPr>
    <w:rPr>
      <w:rFonts w:ascii="Helvetica" w:eastAsia="MS Gothic" w:hAnsi="Helvetica"/>
    </w:rPr>
  </w:style>
  <w:style w:type="paragraph" w:customStyle="1" w:styleId="Noparagraphstyle">
    <w:name w:val="[No paragraph style]"/>
    <w:rsid w:val="0071668F"/>
    <w:pPr>
      <w:widowControl w:val="0"/>
      <w:autoSpaceDE w:val="0"/>
      <w:autoSpaceDN w:val="0"/>
      <w:adjustRightInd w:val="0"/>
      <w:spacing w:line="288" w:lineRule="auto"/>
      <w:textAlignment w:val="center"/>
    </w:pPr>
    <w:rPr>
      <w:rFonts w:eastAsia="Times New Roman"/>
      <w:color w:val="000000"/>
      <w:sz w:val="24"/>
      <w:lang w:val="en-US"/>
    </w:rPr>
  </w:style>
  <w:style w:type="paragraph" w:customStyle="1" w:styleId="Brevtekst">
    <w:name w:val="Brevtekst"/>
    <w:rsid w:val="0071668F"/>
    <w:pPr>
      <w:spacing w:line="260" w:lineRule="exact"/>
    </w:pPr>
    <w:rPr>
      <w:rFonts w:ascii="Verdana" w:hAnsi="Verdana"/>
      <w:kern w:val="16"/>
      <w:sz w:val="18"/>
    </w:rPr>
  </w:style>
  <w:style w:type="paragraph" w:styleId="Sidehoved">
    <w:name w:val="header"/>
    <w:basedOn w:val="Normal"/>
    <w:rsid w:val="0071668F"/>
    <w:pPr>
      <w:tabs>
        <w:tab w:val="center" w:pos="4320"/>
        <w:tab w:val="right" w:pos="8640"/>
      </w:tabs>
    </w:pPr>
  </w:style>
  <w:style w:type="paragraph" w:styleId="Sidefod">
    <w:name w:val="footer"/>
    <w:aliases w:val="Adresse i bund"/>
    <w:link w:val="SidefodTegn"/>
    <w:uiPriority w:val="99"/>
    <w:rsid w:val="0071668F"/>
    <w:pPr>
      <w:spacing w:line="240" w:lineRule="exact"/>
    </w:pPr>
    <w:rPr>
      <w:rFonts w:ascii="Verdana" w:hAnsi="Verdana"/>
      <w:noProof/>
      <w:sz w:val="14"/>
    </w:rPr>
  </w:style>
  <w:style w:type="paragraph" w:styleId="Brdtekst">
    <w:name w:val="Body Text"/>
    <w:basedOn w:val="Normal"/>
    <w:link w:val="BrdtekstTegn"/>
    <w:rsid w:val="0071668F"/>
    <w:pPr>
      <w:spacing w:line="300" w:lineRule="exact"/>
    </w:pPr>
    <w:rPr>
      <w:rFonts w:ascii="Times New Roman" w:hAnsi="Times New Roman"/>
      <w:spacing w:val="2"/>
      <w:kern w:val="22"/>
      <w:sz w:val="22"/>
    </w:rPr>
  </w:style>
  <w:style w:type="paragraph" w:customStyle="1" w:styleId="NormalParagraphStyle">
    <w:name w:val="NormalParagraphStyle"/>
    <w:basedOn w:val="Normal"/>
    <w:rsid w:val="00BD4D08"/>
    <w:rPr>
      <w:rFonts w:ascii="Times New Roman" w:hAnsi="Times New Roman"/>
      <w:lang w:val="en-US"/>
    </w:rPr>
  </w:style>
  <w:style w:type="paragraph" w:customStyle="1" w:styleId="BasicParagraph">
    <w:name w:val="[Basic Paragraph]"/>
    <w:basedOn w:val="Noparagraphstyle"/>
    <w:rsid w:val="0071668F"/>
    <w:rPr>
      <w:rFonts w:ascii="Times-Roman" w:hAnsi="Times-Roman"/>
    </w:rPr>
  </w:style>
  <w:style w:type="paragraph" w:customStyle="1" w:styleId="TypografiNormalParagraphStyleVerdana10pkt">
    <w:name w:val="Typografi NormalParagraphStyle + Verdana 10 pkt"/>
    <w:basedOn w:val="NormalParagraphStyle"/>
    <w:autoRedefine/>
    <w:rsid w:val="003B0CB6"/>
    <w:rPr>
      <w:rFonts w:ascii="Georgia" w:hAnsi="Georgia"/>
      <w:lang w:val="fr-FR"/>
    </w:rPr>
  </w:style>
  <w:style w:type="character" w:styleId="Hyperlink">
    <w:name w:val="Hyperlink"/>
    <w:basedOn w:val="Standardskrifttypeiafsnit"/>
    <w:rsid w:val="00F05CF7"/>
    <w:rPr>
      <w:color w:val="0000FF"/>
      <w:u w:val="single"/>
    </w:rPr>
  </w:style>
  <w:style w:type="character" w:customStyle="1" w:styleId="SidefodTegn">
    <w:name w:val="Sidefod Tegn"/>
    <w:aliases w:val="Adresse i bund Tegn"/>
    <w:basedOn w:val="Standardskrifttypeiafsnit"/>
    <w:link w:val="Sidefod"/>
    <w:uiPriority w:val="99"/>
    <w:rsid w:val="00363324"/>
    <w:rPr>
      <w:rFonts w:ascii="Verdana" w:hAnsi="Verdana"/>
      <w:noProof/>
      <w:sz w:val="14"/>
    </w:rPr>
  </w:style>
  <w:style w:type="character" w:customStyle="1" w:styleId="Overskrift1Tegn">
    <w:name w:val="Overskrift 1 Tegn"/>
    <w:basedOn w:val="Standardskrifttypeiafsnit"/>
    <w:link w:val="Overskrift1"/>
    <w:rsid w:val="00032913"/>
    <w:rPr>
      <w:rFonts w:asciiTheme="majorHAnsi" w:hAnsiTheme="majorHAnsi" w:cs="Arial"/>
      <w:b/>
      <w:kern w:val="16"/>
    </w:rPr>
  </w:style>
  <w:style w:type="paragraph" w:styleId="Billedtekst">
    <w:name w:val="caption"/>
    <w:basedOn w:val="TypografiNormalParagraphStyleVerdana10pkt"/>
    <w:next w:val="Normal"/>
    <w:qFormat/>
    <w:rsid w:val="00A866E9"/>
    <w:rPr>
      <w:i/>
    </w:rPr>
  </w:style>
  <w:style w:type="character" w:customStyle="1" w:styleId="BrdtekstTegn">
    <w:name w:val="Brødtekst Tegn"/>
    <w:basedOn w:val="Standardskrifttypeiafsnit"/>
    <w:link w:val="Brdtekst"/>
    <w:rsid w:val="00A866E9"/>
    <w:rPr>
      <w:rFonts w:ascii="Times New Roman" w:eastAsia="Times New Roman" w:hAnsi="Times New Roman"/>
      <w:color w:val="000000"/>
      <w:spacing w:val="2"/>
      <w:kern w:val="22"/>
      <w:sz w:val="22"/>
      <w:szCs w:val="24"/>
    </w:rPr>
  </w:style>
  <w:style w:type="table" w:styleId="Tabel-Gitter">
    <w:name w:val="Table Grid"/>
    <w:basedOn w:val="Tabel-Normal"/>
    <w:uiPriority w:val="39"/>
    <w:rsid w:val="00492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D9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492D92"/>
    <w:pPr>
      <w:spacing w:line="241" w:lineRule="atLeast"/>
    </w:pPr>
    <w:rPr>
      <w:color w:val="auto"/>
    </w:rPr>
  </w:style>
  <w:style w:type="character" w:customStyle="1" w:styleId="A0">
    <w:name w:val="A0"/>
    <w:uiPriority w:val="99"/>
    <w:rsid w:val="00492D92"/>
    <w:rPr>
      <w:color w:val="000000"/>
      <w:sz w:val="15"/>
      <w:szCs w:val="15"/>
    </w:rPr>
  </w:style>
  <w:style w:type="paragraph" w:styleId="Markeringsbobletekst">
    <w:name w:val="Balloon Text"/>
    <w:basedOn w:val="Normal"/>
    <w:link w:val="MarkeringsbobletekstTegn"/>
    <w:semiHidden/>
    <w:unhideWhenUsed/>
    <w:rsid w:val="002938F3"/>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2938F3"/>
    <w:rPr>
      <w:rFonts w:ascii="Segoe UI" w:eastAsia="Times New Roman" w:hAnsi="Segoe UI" w:cs="Segoe UI"/>
      <w:color w:val="000000"/>
      <w:sz w:val="18"/>
      <w:szCs w:val="18"/>
    </w:rPr>
  </w:style>
  <w:style w:type="character" w:customStyle="1" w:styleId="Overskrift2Tegn">
    <w:name w:val="Overskrift 2 Tegn"/>
    <w:basedOn w:val="Standardskrifttypeiafsnit"/>
    <w:link w:val="Overskrift2"/>
    <w:rsid w:val="00D10FDA"/>
    <w:rPr>
      <w:rFonts w:asciiTheme="majorHAnsi" w:eastAsiaTheme="majorEastAsia" w:hAnsiTheme="majorHAnsi" w:cstheme="majorBidi"/>
      <w:color w:val="9B3C77" w:themeColor="accent1" w:themeShade="BF"/>
      <w:sz w:val="26"/>
      <w:szCs w:val="26"/>
    </w:rPr>
  </w:style>
  <w:style w:type="paragraph" w:styleId="Fodnotetekst">
    <w:name w:val="footnote text"/>
    <w:basedOn w:val="Normal"/>
    <w:link w:val="FodnotetekstTegn"/>
    <w:uiPriority w:val="99"/>
    <w:semiHidden/>
    <w:unhideWhenUsed/>
    <w:rsid w:val="00584EAF"/>
    <w:pPr>
      <w:spacing w:line="240" w:lineRule="auto"/>
    </w:pPr>
    <w:rPr>
      <w:szCs w:val="20"/>
    </w:rPr>
  </w:style>
  <w:style w:type="character" w:customStyle="1" w:styleId="FodnotetekstTegn">
    <w:name w:val="Fodnotetekst Tegn"/>
    <w:basedOn w:val="Standardskrifttypeiafsnit"/>
    <w:link w:val="Fodnotetekst"/>
    <w:uiPriority w:val="99"/>
    <w:semiHidden/>
    <w:rsid w:val="00584EAF"/>
    <w:rPr>
      <w:rFonts w:asciiTheme="minorHAnsi" w:eastAsia="Times New Roman" w:hAnsiTheme="minorHAnsi"/>
      <w:color w:val="000000"/>
    </w:rPr>
  </w:style>
  <w:style w:type="character" w:styleId="Fodnotehenvisning">
    <w:name w:val="footnote reference"/>
    <w:basedOn w:val="Standardskrifttypeiafsnit"/>
    <w:uiPriority w:val="99"/>
    <w:semiHidden/>
    <w:unhideWhenUsed/>
    <w:rsid w:val="00584EAF"/>
    <w:rPr>
      <w:vertAlign w:val="superscript"/>
    </w:rPr>
  </w:style>
  <w:style w:type="character" w:styleId="Kommentarhenvisning">
    <w:name w:val="annotation reference"/>
    <w:basedOn w:val="Standardskrifttypeiafsnit"/>
    <w:semiHidden/>
    <w:unhideWhenUsed/>
    <w:rsid w:val="007936C0"/>
    <w:rPr>
      <w:sz w:val="16"/>
      <w:szCs w:val="16"/>
    </w:rPr>
  </w:style>
  <w:style w:type="paragraph" w:styleId="Kommentartekst">
    <w:name w:val="annotation text"/>
    <w:basedOn w:val="Normal"/>
    <w:link w:val="KommentartekstTegn"/>
    <w:semiHidden/>
    <w:unhideWhenUsed/>
    <w:rsid w:val="007936C0"/>
    <w:pPr>
      <w:spacing w:line="240" w:lineRule="auto"/>
    </w:pPr>
    <w:rPr>
      <w:szCs w:val="20"/>
    </w:rPr>
  </w:style>
  <w:style w:type="character" w:customStyle="1" w:styleId="KommentartekstTegn">
    <w:name w:val="Kommentartekst Tegn"/>
    <w:basedOn w:val="Standardskrifttypeiafsnit"/>
    <w:link w:val="Kommentartekst"/>
    <w:semiHidden/>
    <w:rsid w:val="007936C0"/>
    <w:rPr>
      <w:rFonts w:asciiTheme="minorHAnsi" w:eastAsia="Times New Roman" w:hAnsiTheme="minorHAnsi"/>
      <w:color w:val="000000"/>
    </w:rPr>
  </w:style>
  <w:style w:type="paragraph" w:styleId="Kommentaremne">
    <w:name w:val="annotation subject"/>
    <w:basedOn w:val="Kommentartekst"/>
    <w:next w:val="Kommentartekst"/>
    <w:link w:val="KommentaremneTegn"/>
    <w:semiHidden/>
    <w:unhideWhenUsed/>
    <w:rsid w:val="007936C0"/>
    <w:rPr>
      <w:b/>
      <w:bCs/>
    </w:rPr>
  </w:style>
  <w:style w:type="character" w:customStyle="1" w:styleId="KommentaremneTegn">
    <w:name w:val="Kommentaremne Tegn"/>
    <w:basedOn w:val="KommentartekstTegn"/>
    <w:link w:val="Kommentaremne"/>
    <w:semiHidden/>
    <w:rsid w:val="007936C0"/>
    <w:rPr>
      <w:rFonts w:asciiTheme="minorHAnsi" w:eastAsia="Times New Roman" w:hAnsiTheme="minorHAnsi"/>
      <w:b/>
      <w:bCs/>
      <w:color w:val="000000"/>
    </w:rPr>
  </w:style>
  <w:style w:type="paragraph" w:styleId="Korrektur">
    <w:name w:val="Revision"/>
    <w:hidden/>
    <w:uiPriority w:val="99"/>
    <w:semiHidden/>
    <w:rsid w:val="007936C0"/>
    <w:rPr>
      <w:rFonts w:asciiTheme="minorHAnsi" w:eastAsia="Times New Roman" w:hAnsi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55937">
      <w:bodyDiv w:val="1"/>
      <w:marLeft w:val="0"/>
      <w:marRight w:val="0"/>
      <w:marTop w:val="0"/>
      <w:marBottom w:val="0"/>
      <w:divBdr>
        <w:top w:val="none" w:sz="0" w:space="0" w:color="auto"/>
        <w:left w:val="none" w:sz="0" w:space="0" w:color="auto"/>
        <w:bottom w:val="none" w:sz="0" w:space="0" w:color="auto"/>
        <w:right w:val="none" w:sz="0" w:space="0" w:color="auto"/>
      </w:divBdr>
    </w:div>
    <w:div w:id="2003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71%20Paperline%20logoer\Office%20Skabeloner\2010\AES_Brev%20med%20logo.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eldresagen.dk\shares\aeldrepolitisk_afd\Studenterrelaterede%20opgaver\&#198;ldre%20i%20tal\2021\Hjemmehj&#230;lp\Supplerende%20analyse\Hjemmehj&#230;lp%20-%20visiterede%20timer%20og%20budg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eldresagen.dk\shares\aeldrepolitisk_afd\Studenterrelaterede%20opgaver\&#198;ldre%20i%20tal\2021\Hjemmehj&#230;lp\Supplerende%20analyse\Hjemmehj&#230;lp%20-%20visiterede%20timer%20og%20budg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eldresagen.dk\shares\aeldrepolitisk_afd\Studenterrelaterede%20opgaver\&#198;ldre%20i%20tal\2021\Hjemmehj&#230;lp\Supplerende%20analyse\Hjemmehj&#230;lp%20-%20visiterede%20timer%20og%20budg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Beregninger_manko!$A$53</c:f>
              <c:strCache>
                <c:ptCount val="1"/>
                <c:pt idx="0">
                  <c:v>Visiterede timer pr. år</c:v>
                </c:pt>
              </c:strCache>
            </c:strRef>
          </c:tx>
          <c:spPr>
            <a:ln w="28575" cap="rnd">
              <a:solidFill>
                <a:schemeClr val="tx1"/>
              </a:solidFill>
              <a:round/>
            </a:ln>
            <a:effectLst/>
          </c:spPr>
          <c:marker>
            <c:symbol val="none"/>
          </c:marker>
          <c:cat>
            <c:numRef>
              <c:f>Beregninger_manko!$B$52:$L$52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Beregninger_manko!$B$53:$L$53</c:f>
              <c:numCache>
                <c:formatCode>_-* #,##0\ _k_r_._-;\-* #,##0\ _k_r_._-;_-* "-"??\ _k_r_._-;_-@_-</c:formatCode>
                <c:ptCount val="11"/>
                <c:pt idx="0">
                  <c:v>28057432</c:v>
                </c:pt>
                <c:pt idx="1">
                  <c:v>25335544</c:v>
                </c:pt>
                <c:pt idx="2">
                  <c:v>23912408</c:v>
                </c:pt>
                <c:pt idx="3">
                  <c:v>23379616</c:v>
                </c:pt>
                <c:pt idx="4">
                  <c:v>23505820</c:v>
                </c:pt>
                <c:pt idx="5">
                  <c:v>23178116</c:v>
                </c:pt>
                <c:pt idx="6">
                  <c:v>23026380</c:v>
                </c:pt>
                <c:pt idx="7">
                  <c:v>22067084</c:v>
                </c:pt>
                <c:pt idx="8">
                  <c:v>21548436</c:v>
                </c:pt>
                <c:pt idx="9">
                  <c:v>21296184</c:v>
                </c:pt>
                <c:pt idx="10">
                  <c:v>21310172</c:v>
                </c:pt>
              </c:numCache>
            </c:numRef>
          </c:val>
          <c:smooth val="0"/>
          <c:extLst>
            <c:ext xmlns:c16="http://schemas.microsoft.com/office/drawing/2014/chart" uri="{C3380CC4-5D6E-409C-BE32-E72D297353CC}">
              <c16:uniqueId val="{00000000-529E-431E-BC9C-9309745CFB99}"/>
            </c:ext>
          </c:extLst>
        </c:ser>
        <c:ser>
          <c:idx val="1"/>
          <c:order val="1"/>
          <c:tx>
            <c:strRef>
              <c:f>Beregninger_manko!$A$54</c:f>
              <c:strCache>
                <c:ptCount val="1"/>
                <c:pt idx="0">
                  <c:v>Visiterede timer pr. år ved fastholdelse af 2010-niveauet </c:v>
                </c:pt>
              </c:strCache>
            </c:strRef>
          </c:tx>
          <c:spPr>
            <a:ln w="28575" cap="rnd">
              <a:solidFill>
                <a:schemeClr val="bg2">
                  <a:lumMod val="50000"/>
                </a:schemeClr>
              </a:solidFill>
              <a:prstDash val="dash"/>
              <a:round/>
            </a:ln>
            <a:effectLst/>
          </c:spPr>
          <c:marker>
            <c:symbol val="none"/>
          </c:marker>
          <c:cat>
            <c:numRef>
              <c:f>Beregninger_manko!$B$52:$L$52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Beregninger_manko!$B$54:$L$54</c:f>
              <c:numCache>
                <c:formatCode>_-* #,##0\ _k_r_._-;\-* #,##0\ _k_r_._-;_-* "-"??\ _k_r_._-;_-@_-</c:formatCode>
                <c:ptCount val="11"/>
                <c:pt idx="0">
                  <c:v>28057432</c:v>
                </c:pt>
                <c:pt idx="1">
                  <c:v>28804893.784233976</c:v>
                </c:pt>
                <c:pt idx="2">
                  <c:v>29573146.197495572</c:v>
                </c:pt>
                <c:pt idx="3">
                  <c:v>30383903.764001049</c:v>
                </c:pt>
                <c:pt idx="4">
                  <c:v>31047145.510989603</c:v>
                </c:pt>
                <c:pt idx="5">
                  <c:v>31856603.000202116</c:v>
                </c:pt>
                <c:pt idx="6">
                  <c:v>32659722.406398784</c:v>
                </c:pt>
                <c:pt idx="7">
                  <c:v>33502597.351866301</c:v>
                </c:pt>
                <c:pt idx="8">
                  <c:v>34470657.917571418</c:v>
                </c:pt>
                <c:pt idx="9">
                  <c:v>35284811.785566725</c:v>
                </c:pt>
                <c:pt idx="10">
                  <c:v>36235188.92456986</c:v>
                </c:pt>
              </c:numCache>
            </c:numRef>
          </c:val>
          <c:smooth val="0"/>
          <c:extLst>
            <c:ext xmlns:c16="http://schemas.microsoft.com/office/drawing/2014/chart" uri="{C3380CC4-5D6E-409C-BE32-E72D297353CC}">
              <c16:uniqueId val="{00000001-529E-431E-BC9C-9309745CFB99}"/>
            </c:ext>
          </c:extLst>
        </c:ser>
        <c:dLbls>
          <c:showLegendKey val="0"/>
          <c:showVal val="0"/>
          <c:showCatName val="0"/>
          <c:showSerName val="0"/>
          <c:showPercent val="0"/>
          <c:showBubbleSize val="0"/>
        </c:dLbls>
        <c:smooth val="0"/>
        <c:axId val="594667152"/>
        <c:axId val="594667480"/>
      </c:lineChart>
      <c:catAx>
        <c:axId val="59466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594667480"/>
        <c:crosses val="autoZero"/>
        <c:auto val="1"/>
        <c:lblAlgn val="ctr"/>
        <c:lblOffset val="100"/>
        <c:noMultiLvlLbl val="0"/>
      </c:catAx>
      <c:valAx>
        <c:axId val="594667480"/>
        <c:scaling>
          <c:orientation val="minMax"/>
          <c:min val="1.0000000000000003E-4"/>
        </c:scaling>
        <c:delete val="0"/>
        <c:axPos val="l"/>
        <c:majorGridlines>
          <c:spPr>
            <a:ln w="9525" cap="flat" cmpd="sng" algn="ctr">
              <a:solidFill>
                <a:schemeClr val="tx1">
                  <a:lumMod val="15000"/>
                  <a:lumOff val="85000"/>
                </a:schemeClr>
              </a:solidFill>
              <a:round/>
            </a:ln>
            <a:effectLst/>
          </c:spPr>
        </c:majorGridlines>
        <c:numFmt formatCode="_-* #,##0\ _k_r_._-;\-* #,##0\ _k_r_._-;_-* &quot;-&quot;??\ _k_r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594667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a-D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Figur!$B$1</c:f>
              <c:strCache>
                <c:ptCount val="1"/>
                <c:pt idx="0">
                  <c:v>2010-2020</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C18F-4C85-884C-DF3CAE721C26}"/>
              </c:ext>
            </c:extLst>
          </c:dPt>
          <c:cat>
            <c:strRef>
              <c:f>Figur!$A$51:$A$100</c:f>
              <c:strCache>
                <c:ptCount val="50"/>
                <c:pt idx="0">
                  <c:v>Hele landet</c:v>
                </c:pt>
                <c:pt idx="1">
                  <c:v>Frederiksberg</c:v>
                </c:pt>
                <c:pt idx="2">
                  <c:v>Frederikssund</c:v>
                </c:pt>
                <c:pt idx="3">
                  <c:v>Frederikshavn</c:v>
                </c:pt>
                <c:pt idx="4">
                  <c:v>Vesthimmerlands</c:v>
                </c:pt>
                <c:pt idx="5">
                  <c:v>Odsherred</c:v>
                </c:pt>
                <c:pt idx="6">
                  <c:v>Struer</c:v>
                </c:pt>
                <c:pt idx="7">
                  <c:v>Lejre</c:v>
                </c:pt>
                <c:pt idx="8">
                  <c:v>Nordfyns</c:v>
                </c:pt>
                <c:pt idx="9">
                  <c:v>Roskilde</c:v>
                </c:pt>
                <c:pt idx="10">
                  <c:v>Brønderslev</c:v>
                </c:pt>
                <c:pt idx="11">
                  <c:v>Ishøj</c:v>
                </c:pt>
                <c:pt idx="12">
                  <c:v>Helsingør</c:v>
                </c:pt>
                <c:pt idx="13">
                  <c:v>Kerteminde</c:v>
                </c:pt>
                <c:pt idx="14">
                  <c:v>Lolland</c:v>
                </c:pt>
                <c:pt idx="15">
                  <c:v>Aabenraa</c:v>
                </c:pt>
                <c:pt idx="16">
                  <c:v>Læsø</c:v>
                </c:pt>
                <c:pt idx="17">
                  <c:v>Fredensborg</c:v>
                </c:pt>
                <c:pt idx="18">
                  <c:v>Lyngby-Taarbæk</c:v>
                </c:pt>
                <c:pt idx="19">
                  <c:v>Guldborgsund</c:v>
                </c:pt>
                <c:pt idx="20">
                  <c:v>Ærø</c:v>
                </c:pt>
                <c:pt idx="21">
                  <c:v>Langeland</c:v>
                </c:pt>
                <c:pt idx="22">
                  <c:v>Bornholm</c:v>
                </c:pt>
                <c:pt idx="23">
                  <c:v>Viborg</c:v>
                </c:pt>
                <c:pt idx="24">
                  <c:v>Samsø</c:v>
                </c:pt>
                <c:pt idx="25">
                  <c:v>Syddjurs</c:v>
                </c:pt>
                <c:pt idx="26">
                  <c:v>Hillerød</c:v>
                </c:pt>
                <c:pt idx="27">
                  <c:v>Morsø</c:v>
                </c:pt>
                <c:pt idx="28">
                  <c:v>Ikast-Brande</c:v>
                </c:pt>
                <c:pt idx="29">
                  <c:v>Silkeborg</c:v>
                </c:pt>
                <c:pt idx="30">
                  <c:v>Jammerbugt</c:v>
                </c:pt>
                <c:pt idx="31">
                  <c:v>Tønder</c:v>
                </c:pt>
                <c:pt idx="32">
                  <c:v>Aarhus</c:v>
                </c:pt>
                <c:pt idx="33">
                  <c:v>Odense</c:v>
                </c:pt>
                <c:pt idx="34">
                  <c:v>Favrskov</c:v>
                </c:pt>
                <c:pt idx="35">
                  <c:v>Haderslev</c:v>
                </c:pt>
                <c:pt idx="36">
                  <c:v>Dragør</c:v>
                </c:pt>
                <c:pt idx="37">
                  <c:v>Aalborg</c:v>
                </c:pt>
                <c:pt idx="38">
                  <c:v>Gentofte</c:v>
                </c:pt>
                <c:pt idx="39">
                  <c:v>Greve</c:v>
                </c:pt>
                <c:pt idx="40">
                  <c:v>Holbæk</c:v>
                </c:pt>
                <c:pt idx="41">
                  <c:v>Randers</c:v>
                </c:pt>
                <c:pt idx="42">
                  <c:v>Rebild</c:v>
                </c:pt>
                <c:pt idx="43">
                  <c:v>Assens</c:v>
                </c:pt>
                <c:pt idx="44">
                  <c:v>Hjørring</c:v>
                </c:pt>
                <c:pt idx="45">
                  <c:v>Norddjurs</c:v>
                </c:pt>
                <c:pt idx="46">
                  <c:v>Mariagerfjord</c:v>
                </c:pt>
                <c:pt idx="47">
                  <c:v>Gribskov</c:v>
                </c:pt>
                <c:pt idx="48">
                  <c:v>Billund</c:v>
                </c:pt>
                <c:pt idx="49">
                  <c:v>Hedensted</c:v>
                </c:pt>
              </c:strCache>
            </c:strRef>
          </c:cat>
          <c:val>
            <c:numRef>
              <c:f>Figur!$B$51:$B$100</c:f>
              <c:numCache>
                <c:formatCode>0.0%</c:formatCode>
                <c:ptCount val="50"/>
                <c:pt idx="0">
                  <c:v>-0.41372794747974273</c:v>
                </c:pt>
                <c:pt idx="1">
                  <c:v>-0.41374937318981531</c:v>
                </c:pt>
                <c:pt idx="2">
                  <c:v>-0.41843191084876707</c:v>
                </c:pt>
                <c:pt idx="3">
                  <c:v>-0.42088847687172543</c:v>
                </c:pt>
                <c:pt idx="4">
                  <c:v>-0.42242618184754843</c:v>
                </c:pt>
                <c:pt idx="5">
                  <c:v>-0.42592566621354616</c:v>
                </c:pt>
                <c:pt idx="6">
                  <c:v>-0.42832332501300335</c:v>
                </c:pt>
                <c:pt idx="7">
                  <c:v>-0.43611685854366417</c:v>
                </c:pt>
                <c:pt idx="8">
                  <c:v>-0.44021825883402971</c:v>
                </c:pt>
                <c:pt idx="9">
                  <c:v>-0.44035933768786273</c:v>
                </c:pt>
                <c:pt idx="10">
                  <c:v>-0.44145110791466796</c:v>
                </c:pt>
                <c:pt idx="11">
                  <c:v>-0.44894827057323494</c:v>
                </c:pt>
                <c:pt idx="12">
                  <c:v>-0.44948704198407896</c:v>
                </c:pt>
                <c:pt idx="13">
                  <c:v>-0.45201927343347614</c:v>
                </c:pt>
                <c:pt idx="14">
                  <c:v>-0.45585691372956488</c:v>
                </c:pt>
                <c:pt idx="15">
                  <c:v>-0.46354892081122173</c:v>
                </c:pt>
                <c:pt idx="16">
                  <c:v>-0.46748299319727893</c:v>
                </c:pt>
                <c:pt idx="17">
                  <c:v>-0.4800790958046664</c:v>
                </c:pt>
                <c:pt idx="18">
                  <c:v>-0.48030351836472551</c:v>
                </c:pt>
                <c:pt idx="19">
                  <c:v>-0.48487492239513891</c:v>
                </c:pt>
                <c:pt idx="20">
                  <c:v>-0.48526276234908033</c:v>
                </c:pt>
                <c:pt idx="21">
                  <c:v>-0.48582033866687019</c:v>
                </c:pt>
                <c:pt idx="22">
                  <c:v>-0.48672547961678975</c:v>
                </c:pt>
                <c:pt idx="23">
                  <c:v>-0.48765478605863766</c:v>
                </c:pt>
                <c:pt idx="24">
                  <c:v>-0.48787119833969617</c:v>
                </c:pt>
                <c:pt idx="25">
                  <c:v>-0.50390680460243187</c:v>
                </c:pt>
                <c:pt idx="26">
                  <c:v>-0.50463555141076977</c:v>
                </c:pt>
                <c:pt idx="27">
                  <c:v>-0.50496164370133634</c:v>
                </c:pt>
                <c:pt idx="28">
                  <c:v>-0.50786514273799532</c:v>
                </c:pt>
                <c:pt idx="29">
                  <c:v>-0.50943061224703434</c:v>
                </c:pt>
                <c:pt idx="30">
                  <c:v>-0.5175522988465644</c:v>
                </c:pt>
                <c:pt idx="31">
                  <c:v>-0.51956983641481591</c:v>
                </c:pt>
                <c:pt idx="32">
                  <c:v>-0.52107470513241294</c:v>
                </c:pt>
                <c:pt idx="33">
                  <c:v>-0.52891407990339978</c:v>
                </c:pt>
                <c:pt idx="34">
                  <c:v>-0.5368390715866399</c:v>
                </c:pt>
                <c:pt idx="35">
                  <c:v>-0.5500452977176078</c:v>
                </c:pt>
                <c:pt idx="36">
                  <c:v>-0.55517012796463105</c:v>
                </c:pt>
                <c:pt idx="37">
                  <c:v>-0.56524040361508743</c:v>
                </c:pt>
                <c:pt idx="38">
                  <c:v>-0.56593896088828111</c:v>
                </c:pt>
                <c:pt idx="39">
                  <c:v>-0.57411100659367431</c:v>
                </c:pt>
                <c:pt idx="40">
                  <c:v>-0.58177813823917202</c:v>
                </c:pt>
                <c:pt idx="41">
                  <c:v>-0.5841691837279217</c:v>
                </c:pt>
                <c:pt idx="42">
                  <c:v>-0.59487586600529141</c:v>
                </c:pt>
                <c:pt idx="43">
                  <c:v>-0.60160871086430823</c:v>
                </c:pt>
                <c:pt idx="44">
                  <c:v>-0.60720933319334591</c:v>
                </c:pt>
                <c:pt idx="45">
                  <c:v>-0.61098335047910524</c:v>
                </c:pt>
                <c:pt idx="46">
                  <c:v>-0.62305988439829996</c:v>
                </c:pt>
                <c:pt idx="47">
                  <c:v>-0.70363306390467972</c:v>
                </c:pt>
                <c:pt idx="48">
                  <c:v>-0.71797564310526885</c:v>
                </c:pt>
                <c:pt idx="49">
                  <c:v>-0.81326125558309648</c:v>
                </c:pt>
              </c:numCache>
            </c:numRef>
          </c:val>
          <c:extLst>
            <c:ext xmlns:c16="http://schemas.microsoft.com/office/drawing/2014/chart" uri="{C3380CC4-5D6E-409C-BE32-E72D297353CC}">
              <c16:uniqueId val="{00000002-C18F-4C85-884C-DF3CAE721C26}"/>
            </c:ext>
          </c:extLst>
        </c:ser>
        <c:dLbls>
          <c:showLegendKey val="0"/>
          <c:showVal val="0"/>
          <c:showCatName val="0"/>
          <c:showSerName val="0"/>
          <c:showPercent val="0"/>
          <c:showBubbleSize val="0"/>
        </c:dLbls>
        <c:gapWidth val="180"/>
        <c:axId val="649072464"/>
        <c:axId val="649073776"/>
      </c:barChart>
      <c:catAx>
        <c:axId val="649072464"/>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649073776"/>
        <c:crosses val="autoZero"/>
        <c:auto val="1"/>
        <c:lblAlgn val="ctr"/>
        <c:lblOffset val="100"/>
        <c:tickMarkSkip val="1"/>
        <c:noMultiLvlLbl val="0"/>
      </c:catAx>
      <c:valAx>
        <c:axId val="649073776"/>
        <c:scaling>
          <c:orientation val="minMax"/>
          <c:max val="0.70000000000000007"/>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649072464"/>
        <c:crossesAt val="0"/>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a-D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Figur!$B$1:$B$6</c:f>
              <c:strCache>
                <c:ptCount val="6"/>
                <c:pt idx="0">
                  <c:v>2010-2020</c:v>
                </c:pt>
                <c:pt idx="1">
                  <c:v>.</c:v>
                </c:pt>
                <c:pt idx="2">
                  <c:v>.</c:v>
                </c:pt>
                <c:pt idx="3">
                  <c:v>.</c:v>
                </c:pt>
                <c:pt idx="4">
                  <c:v>.</c:v>
                </c:pt>
                <c:pt idx="5">
                  <c:v>.</c:v>
                </c:pt>
              </c:strCache>
            </c:strRef>
          </c:tx>
          <c:spPr>
            <a:solidFill>
              <a:schemeClr val="accent1"/>
            </a:solidFill>
            <a:ln>
              <a:noFill/>
            </a:ln>
            <a:effectLst/>
          </c:spPr>
          <c:invertIfNegative val="0"/>
          <c:dPt>
            <c:idx val="44"/>
            <c:invertIfNegative val="0"/>
            <c:bubble3D val="0"/>
            <c:spPr>
              <a:solidFill>
                <a:srgbClr val="C00000"/>
              </a:solidFill>
              <a:ln>
                <a:solidFill>
                  <a:srgbClr val="C00000"/>
                </a:solidFill>
              </a:ln>
              <a:effectLst/>
            </c:spPr>
            <c:extLst>
              <c:ext xmlns:c16="http://schemas.microsoft.com/office/drawing/2014/chart" uri="{C3380CC4-5D6E-409C-BE32-E72D297353CC}">
                <c16:uniqueId val="{00000001-73B6-4769-BDA7-AF92DD294463}"/>
              </c:ext>
            </c:extLst>
          </c:dPt>
          <c:cat>
            <c:strRef>
              <c:f>Figur!$A$7:$A$51</c:f>
              <c:strCache>
                <c:ptCount val="45"/>
                <c:pt idx="0">
                  <c:v>Albertslund</c:v>
                </c:pt>
                <c:pt idx="1">
                  <c:v>Vejle</c:v>
                </c:pt>
                <c:pt idx="2">
                  <c:v>Fanø</c:v>
                </c:pt>
                <c:pt idx="3">
                  <c:v>Glostrup</c:v>
                </c:pt>
                <c:pt idx="4">
                  <c:v>Furesø</c:v>
                </c:pt>
                <c:pt idx="5">
                  <c:v>Hvidovre</c:v>
                </c:pt>
                <c:pt idx="6">
                  <c:v>Rødovre</c:v>
                </c:pt>
                <c:pt idx="7">
                  <c:v>Ballerup</c:v>
                </c:pt>
                <c:pt idx="8">
                  <c:v>Køge</c:v>
                </c:pt>
                <c:pt idx="9">
                  <c:v>Herlev</c:v>
                </c:pt>
                <c:pt idx="10">
                  <c:v>Ringkøbing-Skjern</c:v>
                </c:pt>
                <c:pt idx="11">
                  <c:v>Næstved</c:v>
                </c:pt>
                <c:pt idx="12">
                  <c:v>Stevns</c:v>
                </c:pt>
                <c:pt idx="13">
                  <c:v>Brøndby</c:v>
                </c:pt>
                <c:pt idx="14">
                  <c:v>Middelfart</c:v>
                </c:pt>
                <c:pt idx="15">
                  <c:v>Thisted</c:v>
                </c:pt>
                <c:pt idx="16">
                  <c:v>Hørsholm</c:v>
                </c:pt>
                <c:pt idx="17">
                  <c:v>Gladsaxe</c:v>
                </c:pt>
                <c:pt idx="18">
                  <c:v>Fredericia</c:v>
                </c:pt>
                <c:pt idx="19">
                  <c:v>Høje-Taastrup</c:v>
                </c:pt>
                <c:pt idx="20">
                  <c:v>Herning</c:v>
                </c:pt>
                <c:pt idx="21">
                  <c:v>Faaborg-Midtfyn</c:v>
                </c:pt>
                <c:pt idx="22">
                  <c:v>Vallensbæk</c:v>
                </c:pt>
                <c:pt idx="23">
                  <c:v>Kolding</c:v>
                </c:pt>
                <c:pt idx="24">
                  <c:v>Tårnby</c:v>
                </c:pt>
                <c:pt idx="25">
                  <c:v>Nyborg</c:v>
                </c:pt>
                <c:pt idx="26">
                  <c:v>Skive</c:v>
                </c:pt>
                <c:pt idx="27">
                  <c:v>Slagelse</c:v>
                </c:pt>
                <c:pt idx="28">
                  <c:v>Ringsted</c:v>
                </c:pt>
                <c:pt idx="29">
                  <c:v>Egedal</c:v>
                </c:pt>
                <c:pt idx="30">
                  <c:v>Odder</c:v>
                </c:pt>
                <c:pt idx="31">
                  <c:v>Kalundborg</c:v>
                </c:pt>
                <c:pt idx="32">
                  <c:v>Halsnæs</c:v>
                </c:pt>
                <c:pt idx="33">
                  <c:v>Skanderborg</c:v>
                </c:pt>
                <c:pt idx="34">
                  <c:v>Varde</c:v>
                </c:pt>
                <c:pt idx="35">
                  <c:v>Lemvig</c:v>
                </c:pt>
                <c:pt idx="36">
                  <c:v>Esbjerg</c:v>
                </c:pt>
                <c:pt idx="37">
                  <c:v>Holstebro</c:v>
                </c:pt>
                <c:pt idx="38">
                  <c:v>Sorø</c:v>
                </c:pt>
                <c:pt idx="39">
                  <c:v>Faxe</c:v>
                </c:pt>
                <c:pt idx="40">
                  <c:v>Horsens</c:v>
                </c:pt>
                <c:pt idx="41">
                  <c:v>København</c:v>
                </c:pt>
                <c:pt idx="42">
                  <c:v>Solrød</c:v>
                </c:pt>
                <c:pt idx="43">
                  <c:v>Svendborg</c:v>
                </c:pt>
                <c:pt idx="44">
                  <c:v>Hele landet</c:v>
                </c:pt>
              </c:strCache>
            </c:strRef>
          </c:cat>
          <c:val>
            <c:numRef>
              <c:f>Figur!$B$7:$B$51</c:f>
              <c:numCache>
                <c:formatCode>0.0%</c:formatCode>
                <c:ptCount val="45"/>
                <c:pt idx="0">
                  <c:v>0.65108980545102579</c:v>
                </c:pt>
                <c:pt idx="1">
                  <c:v>0.14526170435285457</c:v>
                </c:pt>
                <c:pt idx="2">
                  <c:v>0.10099187506594928</c:v>
                </c:pt>
                <c:pt idx="3">
                  <c:v>5.5413555770441159E-2</c:v>
                </c:pt>
                <c:pt idx="4">
                  <c:v>5.613153191149964E-3</c:v>
                </c:pt>
                <c:pt idx="5">
                  <c:v>-8.2400624789198303E-3</c:v>
                </c:pt>
                <c:pt idx="6">
                  <c:v>-5.8672283335762701E-2</c:v>
                </c:pt>
                <c:pt idx="7">
                  <c:v>-7.0190792582439099E-2</c:v>
                </c:pt>
                <c:pt idx="8">
                  <c:v>-8.2229658849895221E-2</c:v>
                </c:pt>
                <c:pt idx="9">
                  <c:v>-0.1414740687029441</c:v>
                </c:pt>
                <c:pt idx="10">
                  <c:v>-0.14464296923011805</c:v>
                </c:pt>
                <c:pt idx="11">
                  <c:v>-0.16398063161207194</c:v>
                </c:pt>
                <c:pt idx="12">
                  <c:v>-0.16976459419671724</c:v>
                </c:pt>
                <c:pt idx="13">
                  <c:v>-0.18659337238988583</c:v>
                </c:pt>
                <c:pt idx="14">
                  <c:v>-0.18681325429354784</c:v>
                </c:pt>
                <c:pt idx="15">
                  <c:v>-0.19424595805007155</c:v>
                </c:pt>
                <c:pt idx="16">
                  <c:v>-0.19743971299836721</c:v>
                </c:pt>
                <c:pt idx="17">
                  <c:v>-0.19914570853952931</c:v>
                </c:pt>
                <c:pt idx="18">
                  <c:v>-0.20067021307071176</c:v>
                </c:pt>
                <c:pt idx="19">
                  <c:v>-0.21038878552823656</c:v>
                </c:pt>
                <c:pt idx="20">
                  <c:v>-0.21052262705160013</c:v>
                </c:pt>
                <c:pt idx="21">
                  <c:v>-0.24136163184125886</c:v>
                </c:pt>
                <c:pt idx="22">
                  <c:v>-0.24459547854943448</c:v>
                </c:pt>
                <c:pt idx="23">
                  <c:v>-0.25785468822877006</c:v>
                </c:pt>
                <c:pt idx="24">
                  <c:v>-0.27613917328144499</c:v>
                </c:pt>
                <c:pt idx="25">
                  <c:v>-0.2794122929328946</c:v>
                </c:pt>
                <c:pt idx="26">
                  <c:v>-0.28413074023986373</c:v>
                </c:pt>
                <c:pt idx="27">
                  <c:v>-0.28538706121391461</c:v>
                </c:pt>
                <c:pt idx="28">
                  <c:v>-0.30079286498648111</c:v>
                </c:pt>
                <c:pt idx="29">
                  <c:v>-0.30097883606190684</c:v>
                </c:pt>
                <c:pt idx="30">
                  <c:v>-0.30966951365020357</c:v>
                </c:pt>
                <c:pt idx="31">
                  <c:v>-0.3175662241178327</c:v>
                </c:pt>
                <c:pt idx="32">
                  <c:v>-0.32960367970602916</c:v>
                </c:pt>
                <c:pt idx="33">
                  <c:v>-0.33282775439765844</c:v>
                </c:pt>
                <c:pt idx="34">
                  <c:v>-0.34238502064432547</c:v>
                </c:pt>
                <c:pt idx="35">
                  <c:v>-0.34336448750685861</c:v>
                </c:pt>
                <c:pt idx="36">
                  <c:v>-0.35161169963747679</c:v>
                </c:pt>
                <c:pt idx="37">
                  <c:v>-0.35852355460764757</c:v>
                </c:pt>
                <c:pt idx="38">
                  <c:v>-0.36451414644058117</c:v>
                </c:pt>
                <c:pt idx="39">
                  <c:v>-0.36764002834376314</c:v>
                </c:pt>
                <c:pt idx="40">
                  <c:v>-0.37930997305533143</c:v>
                </c:pt>
                <c:pt idx="41">
                  <c:v>-0.38926313318068245</c:v>
                </c:pt>
                <c:pt idx="42">
                  <c:v>-0.3905330768396435</c:v>
                </c:pt>
                <c:pt idx="43">
                  <c:v>-0.39221038680812786</c:v>
                </c:pt>
                <c:pt idx="44">
                  <c:v>-0.41372794747974273</c:v>
                </c:pt>
              </c:numCache>
            </c:numRef>
          </c:val>
          <c:extLst>
            <c:ext xmlns:c16="http://schemas.microsoft.com/office/drawing/2014/chart" uri="{C3380CC4-5D6E-409C-BE32-E72D297353CC}">
              <c16:uniqueId val="{00000002-73B6-4769-BDA7-AF92DD294463}"/>
            </c:ext>
          </c:extLst>
        </c:ser>
        <c:dLbls>
          <c:showLegendKey val="0"/>
          <c:showVal val="0"/>
          <c:showCatName val="0"/>
          <c:showSerName val="0"/>
          <c:showPercent val="0"/>
          <c:showBubbleSize val="0"/>
        </c:dLbls>
        <c:gapWidth val="182"/>
        <c:axId val="649072464"/>
        <c:axId val="649073776"/>
      </c:barChart>
      <c:catAx>
        <c:axId val="649072464"/>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649073776"/>
        <c:crosses val="autoZero"/>
        <c:auto val="1"/>
        <c:lblAlgn val="ctr"/>
        <c:lblOffset val="100"/>
        <c:tickMarkSkip val="1"/>
        <c:noMultiLvlLbl val="0"/>
      </c:catAx>
      <c:valAx>
        <c:axId val="649073776"/>
        <c:scaling>
          <c:orientation val="minMax"/>
          <c:max val="0.70000000000000007"/>
          <c:min val="-0.9"/>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649072464"/>
        <c:crossesAt val="0"/>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a-D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ontortema">
  <a:themeElements>
    <a:clrScheme name="ÆldreSagenFarver">
      <a:dk1>
        <a:srgbClr val="000000"/>
      </a:dk1>
      <a:lt1>
        <a:srgbClr val="FFFFFF"/>
      </a:lt1>
      <a:dk2>
        <a:srgbClr val="A91D1E"/>
      </a:dk2>
      <a:lt2>
        <a:srgbClr val="908979"/>
      </a:lt2>
      <a:accent1>
        <a:srgbClr val="C15F9C"/>
      </a:accent1>
      <a:accent2>
        <a:srgbClr val="9D1E65"/>
      </a:accent2>
      <a:accent3>
        <a:srgbClr val="6EA7AF"/>
      </a:accent3>
      <a:accent4>
        <a:srgbClr val="15494F"/>
      </a:accent4>
      <a:accent5>
        <a:srgbClr val="7281A9"/>
      </a:accent5>
      <a:accent6>
        <a:srgbClr val="111535"/>
      </a:accent6>
      <a:hlink>
        <a:srgbClr val="1D4C83"/>
      </a:hlink>
      <a:folHlink>
        <a:srgbClr val="5E2272"/>
      </a:folHlink>
    </a:clrScheme>
    <a:fontScheme name="ÆldreSagenFon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87D8D-42C6-45D8-841D-C37C30526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AES_Brev med logo</Template>
  <TotalTime>42</TotalTime>
  <Pages>15</Pages>
  <Words>2754</Words>
  <Characters>22817</Characters>
  <Application>Microsoft Office Word</Application>
  <DocSecurity>0</DocSecurity>
  <Lines>190</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Navn</vt:lpstr>
      <vt:lpstr>Navn</vt:lpstr>
    </vt:vector>
  </TitlesOfParts>
  <Company>F.M.T.</Company>
  <LinksUpToDate>false</LinksUpToDate>
  <CharactersWithSpaces>25520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dc:title>
  <dc:creator>Anette Gudum</dc:creator>
  <cp:lastModifiedBy>Mette Wraae</cp:lastModifiedBy>
  <cp:revision>12</cp:revision>
  <cp:lastPrinted>2021-09-02T12:40:00Z</cp:lastPrinted>
  <dcterms:created xsi:type="dcterms:W3CDTF">2021-09-03T13:08:00Z</dcterms:created>
  <dcterms:modified xsi:type="dcterms:W3CDTF">2021-09-03T13:51:00Z</dcterms:modified>
</cp:coreProperties>
</file>